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1AD9" w14:textId="56F69063" w:rsidR="00281CCD" w:rsidRDefault="00464318" w:rsidP="00D21ED4">
      <w:pPr>
        <w:pStyle w:val="Header"/>
        <w:tabs>
          <w:tab w:val="clear" w:pos="4153"/>
          <w:tab w:val="left" w:pos="4253"/>
        </w:tabs>
        <w:rPr>
          <w:b/>
        </w:rPr>
      </w:pPr>
      <w:r>
        <w:rPr>
          <w:noProof/>
        </w:rPr>
        <w:drawing>
          <wp:anchor distT="0" distB="0" distL="114300" distR="114300" simplePos="0" relativeHeight="251657728" behindDoc="0" locked="0" layoutInCell="1" allowOverlap="1" wp14:anchorId="370BF801" wp14:editId="4E3B8C70">
            <wp:simplePos x="0" y="0"/>
            <wp:positionH relativeFrom="page">
              <wp:posOffset>361950</wp:posOffset>
            </wp:positionH>
            <wp:positionV relativeFrom="page">
              <wp:posOffset>419100</wp:posOffset>
            </wp:positionV>
            <wp:extent cx="2219325" cy="504825"/>
            <wp:effectExtent l="0" t="0" r="0" b="0"/>
            <wp:wrapNone/>
            <wp:docPr id="13" name="Picture 1" descr="Birmim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Birmimgham City Council logo">
                      <a:extLst>
                        <a:ext uri="{C183D7F6-B498-43B3-948B-1728B52AA6E4}">
                          <adec:decorative xmlns:adec="http://schemas.microsoft.com/office/drawing/2017/decorative" val="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280E">
        <w:tab/>
      </w:r>
      <w:r w:rsidR="00171238">
        <w:rPr>
          <w:b/>
        </w:rPr>
        <w:t>Planning and Development</w:t>
      </w:r>
    </w:p>
    <w:p w14:paraId="5CA7B76B" w14:textId="77777777" w:rsidR="002635BB" w:rsidRDefault="00281CCD" w:rsidP="00D21ED4">
      <w:pPr>
        <w:pStyle w:val="Header"/>
        <w:tabs>
          <w:tab w:val="clear" w:pos="4153"/>
          <w:tab w:val="left" w:pos="4253"/>
        </w:tabs>
      </w:pPr>
      <w:r>
        <w:tab/>
        <w:t>PO Box 28, Birmingham B1 1TU</w:t>
      </w:r>
      <w:r w:rsidR="002635BB">
        <w:tab/>
      </w:r>
    </w:p>
    <w:p w14:paraId="293473BE" w14:textId="77777777" w:rsidR="002635BB" w:rsidRDefault="002635BB" w:rsidP="002635BB">
      <w:pPr>
        <w:pStyle w:val="Header"/>
      </w:pPr>
    </w:p>
    <w:p w14:paraId="5C48FAC4" w14:textId="77777777" w:rsidR="002476AE" w:rsidRPr="00464318" w:rsidRDefault="002476AE" w:rsidP="00464318">
      <w:pPr>
        <w:pStyle w:val="Heading1"/>
        <w:jc w:val="center"/>
        <w:rPr>
          <w:rFonts w:ascii="Tahoma" w:hAnsi="Tahoma" w:cs="Tahoma"/>
          <w:b/>
          <w:bCs/>
          <w:color w:val="auto"/>
          <w:sz w:val="36"/>
          <w:szCs w:val="36"/>
        </w:rPr>
      </w:pPr>
      <w:r w:rsidRPr="00464318">
        <w:rPr>
          <w:rFonts w:ascii="Tahoma" w:hAnsi="Tahoma" w:cs="Tahoma"/>
          <w:b/>
          <w:bCs/>
          <w:color w:val="auto"/>
          <w:sz w:val="36"/>
          <w:szCs w:val="36"/>
        </w:rPr>
        <w:t>DECISION DOCUMENT</w:t>
      </w:r>
    </w:p>
    <w:p w14:paraId="76C91AA0" w14:textId="77777777" w:rsidR="002476AE" w:rsidRPr="00FA3D8B" w:rsidRDefault="002476AE" w:rsidP="002476AE">
      <w:pPr>
        <w:jc w:val="center"/>
        <w:rPr>
          <w:b/>
          <w:sz w:val="24"/>
        </w:rPr>
      </w:pPr>
    </w:p>
    <w:p w14:paraId="1C0F5BC5" w14:textId="77777777" w:rsidR="002476AE" w:rsidRPr="00FA3D8B" w:rsidRDefault="002476AE" w:rsidP="002476AE">
      <w:pPr>
        <w:jc w:val="center"/>
        <w:rPr>
          <w:b/>
          <w:sz w:val="24"/>
        </w:rPr>
      </w:pPr>
      <w:r w:rsidRPr="00FA3D8B">
        <w:rPr>
          <w:b/>
          <w:sz w:val="24"/>
        </w:rPr>
        <w:t xml:space="preserve">APPLICATION NUMBER: </w:t>
      </w:r>
      <w:r w:rsidR="00260214">
        <w:rPr>
          <w:b/>
          <w:color w:val="000000"/>
          <w:sz w:val="24"/>
        </w:rPr>
        <w:t>2022/06737/PA</w:t>
      </w:r>
    </w:p>
    <w:p w14:paraId="144060EC" w14:textId="77777777" w:rsidR="001E5A65" w:rsidRPr="00FA3D8B" w:rsidRDefault="001E5A65">
      <w:pPr>
        <w:rPr>
          <w:sz w:val="24"/>
        </w:rPr>
      </w:pPr>
    </w:p>
    <w:p w14:paraId="04D2F4BC" w14:textId="77777777" w:rsidR="002476AE" w:rsidRDefault="002476AE" w:rsidP="002476AE">
      <w:pPr>
        <w:jc w:val="center"/>
        <w:rPr>
          <w:b/>
          <w:sz w:val="24"/>
        </w:rPr>
      </w:pPr>
      <w:r w:rsidRPr="00FA3D8B">
        <w:rPr>
          <w:b/>
          <w:sz w:val="24"/>
        </w:rPr>
        <w:t>TOWN AND COUNTRY PLANNING ACT 1990</w:t>
      </w:r>
    </w:p>
    <w:p w14:paraId="2C039036" w14:textId="77777777" w:rsidR="00DA0614" w:rsidRDefault="00DA0614"/>
    <w:p w14:paraId="3F54A1C6" w14:textId="77777777" w:rsidR="002476AE" w:rsidRDefault="002476AE"/>
    <w:p w14:paraId="5D734701" w14:textId="77777777" w:rsidR="00464318" w:rsidRDefault="00464318"/>
    <w:p w14:paraId="504B409B" w14:textId="77777777" w:rsidR="00464318" w:rsidRDefault="00464318"/>
    <w:p w14:paraId="2CCF0697" w14:textId="77777777" w:rsidR="009E3B82" w:rsidRDefault="009E3B82" w:rsidP="009E3B82">
      <w:r>
        <w:t xml:space="preserve">BIRMINGHAM CITY </w:t>
      </w:r>
      <w:r w:rsidR="00DF4B4D">
        <w:t>COUNCIL</w:t>
      </w:r>
      <w:r>
        <w:t xml:space="preserve"> HEREBY REFUSE </w:t>
      </w:r>
      <w:r w:rsidR="007608C4">
        <w:t xml:space="preserve">PLANNING </w:t>
      </w:r>
      <w:r>
        <w:t xml:space="preserve">PERMISSION FOR </w:t>
      </w:r>
      <w:r w:rsidR="007608C4">
        <w:t>D</w:t>
      </w:r>
      <w:r>
        <w:t xml:space="preserve">EVELOPMENT PROPOSED </w:t>
      </w:r>
      <w:r w:rsidR="00C71EA8">
        <w:t>BELOW</w:t>
      </w:r>
      <w:r>
        <w:t xml:space="preserve"> FOR THE REASONS</w:t>
      </w:r>
      <w:r w:rsidR="00C71EA8">
        <w:t xml:space="preserve"> STATED.</w:t>
      </w:r>
    </w:p>
    <w:p w14:paraId="1D3CAAA5" w14:textId="77777777" w:rsidR="002476AE" w:rsidRDefault="002476AE"/>
    <w:p w14:paraId="3B6B42F9" w14:textId="77777777" w:rsidR="002476AE" w:rsidRDefault="00260214" w:rsidP="002476AE">
      <w:r>
        <w:t>Demolition of existing buildings and construction of 83 residential apartments across two new development blocks, central amenity space including soft landscaping and planting, cycle storage, bin stores, plant store and enabling works</w:t>
      </w:r>
    </w:p>
    <w:p w14:paraId="1CF52BCB" w14:textId="77777777" w:rsidR="002476AE" w:rsidRPr="005E1671" w:rsidRDefault="002476AE">
      <w:pPr>
        <w:rPr>
          <w:sz w:val="8"/>
          <w:szCs w:val="8"/>
        </w:rPr>
      </w:pPr>
    </w:p>
    <w:p w14:paraId="049DBC5A" w14:textId="77777777" w:rsidR="002476AE" w:rsidRDefault="002476AE">
      <w:r>
        <w:t>at</w:t>
      </w:r>
    </w:p>
    <w:p w14:paraId="324F859D" w14:textId="77777777" w:rsidR="002476AE" w:rsidRPr="005E1671" w:rsidRDefault="002476AE">
      <w:pPr>
        <w:rPr>
          <w:sz w:val="8"/>
          <w:szCs w:val="8"/>
        </w:rPr>
      </w:pPr>
    </w:p>
    <w:p w14:paraId="2FC5A55D" w14:textId="77777777" w:rsidR="0074117A" w:rsidRDefault="00260214">
      <w:r>
        <w:t>334-340 High Street and 8-22 Harborne Park Road, Harborne, Birmingham, B17 9PU</w:t>
      </w:r>
    </w:p>
    <w:p w14:paraId="4C65A5A5" w14:textId="77777777" w:rsidR="00DA0614" w:rsidRDefault="00DA0614"/>
    <w:p w14:paraId="72908201" w14:textId="77777777" w:rsidR="00283A64" w:rsidRPr="00554CAD" w:rsidRDefault="00283A64" w:rsidP="00283A64">
      <w:pPr>
        <w:jc w:val="center"/>
        <w:rPr>
          <w:rFonts w:cs="Arial"/>
          <w:b/>
          <w:szCs w:val="22"/>
          <w:u w:val="single"/>
        </w:rPr>
      </w:pPr>
      <w:r>
        <w:rPr>
          <w:rFonts w:cs="Arial"/>
          <w:b/>
          <w:szCs w:val="22"/>
          <w:u w:val="single"/>
        </w:rPr>
        <w:t>Reason(s) f</w:t>
      </w:r>
      <w:r w:rsidRPr="00554CAD">
        <w:rPr>
          <w:rFonts w:cs="Arial"/>
          <w:b/>
          <w:szCs w:val="22"/>
          <w:u w:val="single"/>
        </w:rPr>
        <w:t xml:space="preserve">or </w:t>
      </w:r>
      <w:r>
        <w:rPr>
          <w:rFonts w:cs="Arial"/>
          <w:b/>
          <w:szCs w:val="22"/>
          <w:u w:val="single"/>
        </w:rPr>
        <w:t>Refusal</w:t>
      </w:r>
    </w:p>
    <w:p w14:paraId="2CD8631D" w14:textId="77777777" w:rsidR="00B63071" w:rsidRDefault="00B63071"/>
    <w:tbl>
      <w:tblPr>
        <w:tblW w:w="0" w:type="auto"/>
        <w:tblBorders>
          <w:insideH w:val="single" w:sz="8" w:space="0" w:color="auto"/>
        </w:tblBorders>
        <w:tblLayout w:type="fixed"/>
        <w:tblLook w:val="01E0" w:firstRow="1" w:lastRow="1" w:firstColumn="1" w:lastColumn="1" w:noHBand="0" w:noVBand="0"/>
        <w:tblCaption w:val="Reasons for Refusal"/>
        <w:tblDescription w:val="Reasons for Refusal"/>
      </w:tblPr>
      <w:tblGrid>
        <w:gridCol w:w="675"/>
        <w:gridCol w:w="10313"/>
      </w:tblGrid>
      <w:tr w:rsidR="00313BC4" w14:paraId="03C47739" w14:textId="77777777" w:rsidTr="00464318">
        <w:trPr>
          <w:tblHeader/>
        </w:trPr>
        <w:tc>
          <w:tcPr>
            <w:tcW w:w="675" w:type="dxa"/>
            <w:shd w:val="clear" w:color="auto" w:fill="auto"/>
          </w:tcPr>
          <w:p w14:paraId="045F2808" w14:textId="77777777" w:rsidR="00313BC4" w:rsidRPr="00B436C3" w:rsidRDefault="00313BC4">
            <w:pPr>
              <w:rPr>
                <w:sz w:val="4"/>
                <w:szCs w:val="4"/>
              </w:rPr>
            </w:pPr>
            <w:bookmarkStart w:id="0" w:name="Reasons"/>
          </w:p>
        </w:tc>
        <w:tc>
          <w:tcPr>
            <w:tcW w:w="10313" w:type="dxa"/>
            <w:shd w:val="clear" w:color="auto" w:fill="auto"/>
          </w:tcPr>
          <w:p w14:paraId="518F5BE0" w14:textId="77777777" w:rsidR="00313BC4" w:rsidRPr="00B436C3" w:rsidRDefault="00313BC4">
            <w:pPr>
              <w:rPr>
                <w:sz w:val="4"/>
                <w:szCs w:val="4"/>
              </w:rPr>
            </w:pPr>
          </w:p>
        </w:tc>
      </w:tr>
      <w:tr w:rsidR="00511FAD" w14:paraId="33E70E91" w14:textId="77777777" w:rsidTr="00464318">
        <w:tc>
          <w:tcPr>
            <w:tcW w:w="675" w:type="dxa"/>
            <w:shd w:val="clear" w:color="auto" w:fill="auto"/>
          </w:tcPr>
          <w:p w14:paraId="231E66D4" w14:textId="77777777" w:rsidR="00511FAD" w:rsidRDefault="00260214">
            <w:r>
              <w:t>1</w:t>
            </w:r>
          </w:p>
        </w:tc>
        <w:tc>
          <w:tcPr>
            <w:tcW w:w="10313" w:type="dxa"/>
            <w:shd w:val="clear" w:color="auto" w:fill="auto"/>
          </w:tcPr>
          <w:p w14:paraId="605B916E" w14:textId="77777777" w:rsidR="00511FAD" w:rsidRDefault="00260214">
            <w:r>
              <w:t>By virtue of its scale, massing and appearance the proposal constitutes a poor design that would materially harm the character and appearance of the street scene and as such would be contrary to Policy PG3 of the Birmingham Development Plan 2017  guidance in Birmingham Design Guide SPD 2022, Policy DM2 of the Development Management in Birmingham DPD 2021 and the National Planning Policy Framework.</w:t>
            </w:r>
          </w:p>
        </w:tc>
      </w:tr>
      <w:tr w:rsidR="00260214" w14:paraId="44A4A170" w14:textId="77777777" w:rsidTr="00464318">
        <w:tc>
          <w:tcPr>
            <w:tcW w:w="675" w:type="dxa"/>
            <w:shd w:val="clear" w:color="auto" w:fill="auto"/>
          </w:tcPr>
          <w:p w14:paraId="42268FD7" w14:textId="77777777" w:rsidR="00260214" w:rsidRDefault="00260214">
            <w:r>
              <w:t>2</w:t>
            </w:r>
          </w:p>
        </w:tc>
        <w:tc>
          <w:tcPr>
            <w:tcW w:w="10313" w:type="dxa"/>
            <w:shd w:val="clear" w:color="auto" w:fill="auto"/>
          </w:tcPr>
          <w:p w14:paraId="5C6909AA" w14:textId="77777777" w:rsidR="00260214" w:rsidRDefault="00260214">
            <w:r>
              <w:t>The scheme fails provide any affordable housing contribution contrary to policies TP31 and TP45 of the Birmingham Development Plan and the NPPF.</w:t>
            </w:r>
          </w:p>
        </w:tc>
      </w:tr>
      <w:tr w:rsidR="00260214" w14:paraId="3BE3B697" w14:textId="77777777" w:rsidTr="00464318">
        <w:tc>
          <w:tcPr>
            <w:tcW w:w="675" w:type="dxa"/>
            <w:shd w:val="clear" w:color="auto" w:fill="auto"/>
          </w:tcPr>
          <w:p w14:paraId="7AD227FD" w14:textId="77777777" w:rsidR="00260214" w:rsidRDefault="00260214">
            <w:r>
              <w:t>3</w:t>
            </w:r>
          </w:p>
        </w:tc>
        <w:tc>
          <w:tcPr>
            <w:tcW w:w="10313" w:type="dxa"/>
            <w:shd w:val="clear" w:color="auto" w:fill="auto"/>
          </w:tcPr>
          <w:p w14:paraId="6B552119" w14:textId="77777777" w:rsidR="00260214" w:rsidRDefault="00260214">
            <w:r>
              <w:t>No contribution towards open space provision has been offered which is contrary to the Open Space SPD, Policy TP45 of the BDP and the NPPF.</w:t>
            </w:r>
          </w:p>
        </w:tc>
      </w:tr>
      <w:tr w:rsidR="00260214" w14:paraId="7C828B81" w14:textId="77777777" w:rsidTr="00464318">
        <w:tc>
          <w:tcPr>
            <w:tcW w:w="675" w:type="dxa"/>
            <w:shd w:val="clear" w:color="auto" w:fill="auto"/>
          </w:tcPr>
          <w:p w14:paraId="29E09819" w14:textId="77777777" w:rsidR="00260214" w:rsidRDefault="00260214">
            <w:r>
              <w:t>4</w:t>
            </w:r>
          </w:p>
        </w:tc>
        <w:tc>
          <w:tcPr>
            <w:tcW w:w="10313" w:type="dxa"/>
            <w:shd w:val="clear" w:color="auto" w:fill="auto"/>
          </w:tcPr>
          <w:p w14:paraId="2837B75F" w14:textId="77777777" w:rsidR="00260214" w:rsidRDefault="00260214">
            <w:r>
              <w:t>The applicant has failed to demonstrate that there is sufficient off street parking in an area already experiencing high levels of parking demand. It is therefore considered that the inadequate parking proposed would lead to additional parking in nearby roads, to the detriment of pedestrian and highway safety. As such it would be contrary to Policies PG3 and TP44 of the Birmingham Development Plan 2017, policies DM14 and DM15 of the Development Management in Birmingham DPD and the National Planning Policy Framework.</w:t>
            </w:r>
          </w:p>
        </w:tc>
      </w:tr>
      <w:tr w:rsidR="00260214" w14:paraId="4A35F28B" w14:textId="77777777" w:rsidTr="00464318">
        <w:tc>
          <w:tcPr>
            <w:tcW w:w="675" w:type="dxa"/>
            <w:shd w:val="clear" w:color="auto" w:fill="auto"/>
          </w:tcPr>
          <w:p w14:paraId="372EC575" w14:textId="77777777" w:rsidR="00260214" w:rsidRDefault="00260214">
            <w:r>
              <w:t>5</w:t>
            </w:r>
          </w:p>
        </w:tc>
        <w:tc>
          <w:tcPr>
            <w:tcW w:w="10313" w:type="dxa"/>
            <w:shd w:val="clear" w:color="auto" w:fill="auto"/>
          </w:tcPr>
          <w:p w14:paraId="1859DB12" w14:textId="77777777" w:rsidR="00260214" w:rsidRDefault="00260214">
            <w:r>
              <w:t>By virtue of the significant number of 1 bed flats the proposed development fails to deliver a good mix of house types. There is an undersupply and evidenced demand in the City for family housing which the scheme fails to deliver and as such the proposal would be contrary to Policy TP30 of the Birmingham Development Plan 2017 and the National Planning Policy Framework 2021.</w:t>
            </w:r>
          </w:p>
        </w:tc>
      </w:tr>
      <w:tr w:rsidR="00260214" w14:paraId="261BCDFD" w14:textId="77777777" w:rsidTr="00464318">
        <w:tc>
          <w:tcPr>
            <w:tcW w:w="675" w:type="dxa"/>
            <w:shd w:val="clear" w:color="auto" w:fill="auto"/>
          </w:tcPr>
          <w:p w14:paraId="12A69065" w14:textId="77777777" w:rsidR="00260214" w:rsidRDefault="00260214">
            <w:r>
              <w:t>6</w:t>
            </w:r>
          </w:p>
        </w:tc>
        <w:tc>
          <w:tcPr>
            <w:tcW w:w="10313" w:type="dxa"/>
            <w:shd w:val="clear" w:color="auto" w:fill="auto"/>
          </w:tcPr>
          <w:p w14:paraId="1AFE3AA0" w14:textId="77777777" w:rsidR="00260214" w:rsidRDefault="00260214">
            <w:r>
              <w:t>By virtue of its siting, layout and levels of sunlight received the private amenity space proposed is considered to be of a poor quality that creates an unacceptable living environment for the proposed occupiers and as such the development would be contrary to Policies PG3 and TP27 of the Birmingham Development Plan 2017, Birmingham Design Guide SPD 2022, Policy DM2 of the Development Management in Birmingham DPD 2021 and the National Planning Policy Framework.</w:t>
            </w:r>
          </w:p>
        </w:tc>
      </w:tr>
      <w:bookmarkEnd w:id="0"/>
    </w:tbl>
    <w:p w14:paraId="13BA2FCA" w14:textId="77777777" w:rsidR="00511FAD" w:rsidRDefault="00511FAD"/>
    <w:p w14:paraId="68C819CB" w14:textId="77777777" w:rsidR="00B63071" w:rsidRDefault="00B63071"/>
    <w:p w14:paraId="5F92708A" w14:textId="77777777" w:rsidR="00B63071" w:rsidRDefault="00B63071"/>
    <w:tbl>
      <w:tblPr>
        <w:tblW w:w="0" w:type="auto"/>
        <w:tblLook w:val="01E0" w:firstRow="1" w:lastRow="1" w:firstColumn="1" w:lastColumn="1" w:noHBand="0" w:noVBand="0"/>
        <w:tblCaption w:val="Sign Off"/>
        <w:tblDescription w:val="Sign Off"/>
      </w:tblPr>
      <w:tblGrid>
        <w:gridCol w:w="10772"/>
      </w:tblGrid>
      <w:tr w:rsidR="00FC1AB0" w14:paraId="7864D576" w14:textId="77777777" w:rsidTr="00464318">
        <w:trPr>
          <w:tblHeader/>
        </w:trPr>
        <w:tc>
          <w:tcPr>
            <w:tcW w:w="10988" w:type="dxa"/>
            <w:shd w:val="clear" w:color="auto" w:fill="auto"/>
          </w:tcPr>
          <w:p w14:paraId="0FF43846" w14:textId="77777777" w:rsidR="00ED6191" w:rsidRPr="00B436C3" w:rsidRDefault="00ED6191" w:rsidP="00ED6191">
            <w:pPr>
              <w:rPr>
                <w:rFonts w:cs="Arial"/>
                <w:szCs w:val="22"/>
              </w:rPr>
            </w:pPr>
            <w:r w:rsidRPr="00B436C3">
              <w:rPr>
                <w:rFonts w:cs="Arial"/>
                <w:szCs w:val="22"/>
              </w:rPr>
              <w:lastRenderedPageBreak/>
              <w:t xml:space="preserve">Date: </w:t>
            </w:r>
            <w:r w:rsidR="00260214">
              <w:rPr>
                <w:rFonts w:ascii="Arial" w:hAnsi="Arial" w:cs="Arial"/>
                <w:szCs w:val="22"/>
              </w:rPr>
              <w:t>Tuesday 4th July 2023</w:t>
            </w:r>
          </w:p>
          <w:p w14:paraId="271F9C9D" w14:textId="77777777" w:rsidR="00ED6191" w:rsidRPr="00B436C3" w:rsidRDefault="00ED6191" w:rsidP="00B436C3">
            <w:pPr>
              <w:autoSpaceDE w:val="0"/>
              <w:autoSpaceDN w:val="0"/>
              <w:adjustRightInd w:val="0"/>
              <w:rPr>
                <w:rFonts w:ascii="Arial" w:hAnsi="Arial" w:cs="Arial"/>
                <w:szCs w:val="22"/>
              </w:rPr>
            </w:pPr>
          </w:p>
          <w:p w14:paraId="02C7FBF2" w14:textId="77777777" w:rsidR="00D361C7" w:rsidRDefault="00D361C7" w:rsidP="00D361C7">
            <w:pPr>
              <w:autoSpaceDE w:val="0"/>
              <w:autoSpaceDN w:val="0"/>
              <w:adjustRightInd w:val="0"/>
              <w:rPr>
                <w:rFonts w:ascii="Arial" w:hAnsi="Arial" w:cs="Arial"/>
                <w:sz w:val="60"/>
                <w:szCs w:val="60"/>
              </w:rPr>
            </w:pPr>
            <w:r>
              <w:rPr>
                <w:rFonts w:ascii="Freestyle Script" w:hAnsi="Freestyle Script" w:cs="Arial"/>
                <w:sz w:val="60"/>
                <w:szCs w:val="60"/>
              </w:rPr>
              <w:t>Ian J. MacLeod</w:t>
            </w:r>
          </w:p>
          <w:p w14:paraId="4D191C46" w14:textId="77777777" w:rsidR="00ED6191" w:rsidRPr="00B436C3" w:rsidRDefault="00ED6191" w:rsidP="00B436C3">
            <w:pPr>
              <w:autoSpaceDE w:val="0"/>
              <w:autoSpaceDN w:val="0"/>
              <w:adjustRightInd w:val="0"/>
              <w:rPr>
                <w:rFonts w:ascii="Arial" w:hAnsi="Arial" w:cs="Arial"/>
                <w:sz w:val="16"/>
                <w:szCs w:val="16"/>
              </w:rPr>
            </w:pPr>
            <w:r w:rsidRPr="00B436C3">
              <w:rPr>
                <w:rFonts w:cs="Arial"/>
                <w:sz w:val="16"/>
                <w:szCs w:val="16"/>
              </w:rPr>
              <w:t>_______________________________________________________________</w:t>
            </w:r>
          </w:p>
          <w:p w14:paraId="575E8D76" w14:textId="77777777" w:rsidR="00FC1AB0" w:rsidRPr="00B436C3" w:rsidRDefault="00631147" w:rsidP="00ED6191">
            <w:pPr>
              <w:rPr>
                <w:rFonts w:cs="Arial"/>
                <w:szCs w:val="22"/>
              </w:rPr>
            </w:pPr>
            <w:r>
              <w:rPr>
                <w:rFonts w:ascii="Arial" w:hAnsi="Arial" w:cs="Arial"/>
                <w:szCs w:val="22"/>
                <w:lang w:eastAsia="en-GB"/>
              </w:rPr>
              <w:t>Ian MacLeod, Director of Planning, Transport and Sustainability</w:t>
            </w:r>
            <w:r w:rsidR="007F350E">
              <w:rPr>
                <w:rFonts w:ascii="Arial" w:hAnsi="Arial" w:cs="Arial"/>
                <w:szCs w:val="22"/>
                <w:lang w:eastAsia="en-GB"/>
              </w:rPr>
              <w:t xml:space="preserve"> </w:t>
            </w:r>
          </w:p>
          <w:p w14:paraId="6165C527" w14:textId="77777777" w:rsidR="00FC1AB0" w:rsidRPr="00B436C3" w:rsidRDefault="00FC1AB0" w:rsidP="00B436C3">
            <w:pPr>
              <w:pStyle w:val="Heading3"/>
              <w:ind w:left="0" w:firstLine="0"/>
              <w:rPr>
                <w:rFonts w:cs="Arial"/>
                <w:sz w:val="22"/>
                <w:szCs w:val="22"/>
                <w:lang w:val="en-GB"/>
              </w:rPr>
            </w:pPr>
          </w:p>
          <w:p w14:paraId="1849487B" w14:textId="77777777" w:rsidR="00FC1AB0" w:rsidRDefault="00FC1AB0" w:rsidP="00FC1AB0">
            <w:r>
              <w:t>P.O. BOX 28, Birmingham B1 1TU</w:t>
            </w:r>
          </w:p>
          <w:p w14:paraId="4E6E4BF5" w14:textId="77777777" w:rsidR="00FC1AB0" w:rsidRDefault="00FC1AB0"/>
        </w:tc>
      </w:tr>
    </w:tbl>
    <w:p w14:paraId="4F5DF971" w14:textId="77777777" w:rsidR="00FC1AB0" w:rsidRDefault="00FC1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formative"/>
        <w:tblDescription w:val="Informative"/>
      </w:tblPr>
      <w:tblGrid>
        <w:gridCol w:w="10772"/>
      </w:tblGrid>
      <w:tr w:rsidR="00260214" w14:paraId="00A7689C" w14:textId="77777777" w:rsidTr="00464318">
        <w:trPr>
          <w:cantSplit/>
          <w:tblHeader/>
        </w:trPr>
        <w:tc>
          <w:tcPr>
            <w:tcW w:w="0" w:type="auto"/>
            <w:tcBorders>
              <w:top w:val="nil"/>
              <w:left w:val="nil"/>
              <w:bottom w:val="nil"/>
              <w:right w:val="nil"/>
            </w:tcBorders>
            <w:shd w:val="clear" w:color="auto" w:fill="auto"/>
          </w:tcPr>
          <w:p w14:paraId="63373B57" w14:textId="77777777" w:rsidR="00260214" w:rsidRDefault="00260214" w:rsidP="00311516">
            <w:pPr>
              <w:jc w:val="center"/>
            </w:pPr>
          </w:p>
          <w:p w14:paraId="58EC69E5" w14:textId="77777777" w:rsidR="00260214" w:rsidRDefault="00260214" w:rsidP="00311516">
            <w:pPr>
              <w:jc w:val="center"/>
            </w:pPr>
            <w:r>
              <w:t>INFORMATIVE NOTE(S) (if any)</w:t>
            </w:r>
          </w:p>
        </w:tc>
      </w:tr>
      <w:tr w:rsidR="00260214" w14:paraId="26B523F1" w14:textId="77777777" w:rsidTr="00464318">
        <w:trPr>
          <w:cantSplit/>
        </w:trPr>
        <w:tc>
          <w:tcPr>
            <w:tcW w:w="0" w:type="auto"/>
            <w:tcBorders>
              <w:top w:val="nil"/>
              <w:left w:val="nil"/>
              <w:bottom w:val="nil"/>
              <w:right w:val="nil"/>
            </w:tcBorders>
            <w:shd w:val="clear" w:color="auto" w:fill="auto"/>
          </w:tcPr>
          <w:p w14:paraId="3164EA29" w14:textId="77777777" w:rsidR="00260214" w:rsidRDefault="00260214" w:rsidP="00311516">
            <w:pPr>
              <w:jc w:val="center"/>
            </w:pPr>
          </w:p>
          <w:p w14:paraId="0777F74C" w14:textId="77777777" w:rsidR="00260214" w:rsidRDefault="00260214" w:rsidP="00311516">
            <w:pPr>
              <w:jc w:val="center"/>
            </w:pPr>
            <w:r>
              <w:t>________________________________________________________________________________</w:t>
            </w:r>
          </w:p>
          <w:p w14:paraId="2056D9C4" w14:textId="77777777" w:rsidR="00260214" w:rsidRDefault="00260214" w:rsidP="00311516">
            <w:pPr>
              <w:jc w:val="center"/>
            </w:pPr>
          </w:p>
          <w:p w14:paraId="3EED0A69" w14:textId="77777777" w:rsidR="00260214" w:rsidRDefault="00260214" w:rsidP="00311516">
            <w:pPr>
              <w:jc w:val="center"/>
            </w:pPr>
            <w:r>
              <w:t>In reaching this decision the Local Planning Authority has taken into account paragraph 38 of the National Planning Policy Framework which details the need to work proactively and positively with applicants to secure developments that improve the economic, social and environmental conditions of the area. In this case the council has not been able to identify a positive or proactive solution that would overcome the identified policy conflicts as set out  in the officers report and referred to in the reason(s) given.</w:t>
            </w:r>
          </w:p>
        </w:tc>
      </w:tr>
      <w:tr w:rsidR="00260214" w14:paraId="50CF8E20" w14:textId="77777777" w:rsidTr="00464318">
        <w:trPr>
          <w:cantSplit/>
        </w:trPr>
        <w:tc>
          <w:tcPr>
            <w:tcW w:w="0" w:type="auto"/>
            <w:tcBorders>
              <w:top w:val="nil"/>
              <w:left w:val="nil"/>
              <w:bottom w:val="nil"/>
              <w:right w:val="nil"/>
            </w:tcBorders>
            <w:shd w:val="clear" w:color="auto" w:fill="auto"/>
          </w:tcPr>
          <w:p w14:paraId="0E30A2C7" w14:textId="77777777" w:rsidR="00260214" w:rsidRDefault="00260214" w:rsidP="00311516">
            <w:pPr>
              <w:jc w:val="center"/>
            </w:pPr>
          </w:p>
          <w:p w14:paraId="7AE1780B" w14:textId="77777777" w:rsidR="00260214" w:rsidRDefault="00260214" w:rsidP="00311516">
            <w:pPr>
              <w:jc w:val="center"/>
            </w:pPr>
            <w:r>
              <w:t>________________________________________________________________________________</w:t>
            </w:r>
          </w:p>
          <w:p w14:paraId="36C73056" w14:textId="77777777" w:rsidR="00260214" w:rsidRDefault="00260214" w:rsidP="00311516">
            <w:pPr>
              <w:jc w:val="center"/>
            </w:pPr>
          </w:p>
          <w:p w14:paraId="12963447" w14:textId="77777777" w:rsidR="00260214" w:rsidRDefault="00260214" w:rsidP="00311516">
            <w:pPr>
              <w:jc w:val="center"/>
            </w:pPr>
            <w:r>
              <w:t xml:space="preserve">Water supplies for fire fighting should be in accordance with the "National Guidance Document on the Provision for Fire Fighting" published by Local Government Association and WaterUK </w:t>
            </w:r>
          </w:p>
          <w:p w14:paraId="276043E3" w14:textId="77777777" w:rsidR="00260214" w:rsidRDefault="00260214" w:rsidP="00311516">
            <w:pPr>
              <w:jc w:val="center"/>
            </w:pPr>
          </w:p>
          <w:p w14:paraId="331928DE" w14:textId="77777777" w:rsidR="00260214" w:rsidRDefault="00260214" w:rsidP="00311516">
            <w:pPr>
              <w:jc w:val="center"/>
            </w:pPr>
            <w:r>
              <w:t>Please ensure that you visit the following link before commencing any development:</w:t>
            </w:r>
          </w:p>
          <w:p w14:paraId="67419879" w14:textId="77777777" w:rsidR="00260214" w:rsidRDefault="00260214" w:rsidP="00311516">
            <w:pPr>
              <w:jc w:val="center"/>
            </w:pPr>
            <w:r>
              <w:t>http://www.water.org.uk/home/policy/publications/archive/industry-guidance/national-guidance-document/national-guidance-document-on-water-for-ffg-final.pdf</w:t>
            </w:r>
          </w:p>
          <w:p w14:paraId="5A835344" w14:textId="77777777" w:rsidR="00260214" w:rsidRDefault="00260214" w:rsidP="00311516">
            <w:pPr>
              <w:jc w:val="center"/>
            </w:pPr>
          </w:p>
          <w:p w14:paraId="7B1E3476" w14:textId="77777777" w:rsidR="00260214" w:rsidRDefault="00260214" w:rsidP="00311516">
            <w:pPr>
              <w:jc w:val="center"/>
            </w:pPr>
            <w:r>
              <w:t>For further information please contact the West Midlands Fire Service Water Office at water.officer@wmfs.net</w:t>
            </w:r>
          </w:p>
        </w:tc>
      </w:tr>
      <w:tr w:rsidR="00260214" w14:paraId="0207EC37" w14:textId="77777777" w:rsidTr="00464318">
        <w:trPr>
          <w:cantSplit/>
        </w:trPr>
        <w:tc>
          <w:tcPr>
            <w:tcW w:w="0" w:type="auto"/>
            <w:tcBorders>
              <w:top w:val="nil"/>
              <w:left w:val="nil"/>
              <w:bottom w:val="nil"/>
              <w:right w:val="nil"/>
            </w:tcBorders>
            <w:shd w:val="clear" w:color="auto" w:fill="auto"/>
          </w:tcPr>
          <w:p w14:paraId="458C33D2" w14:textId="77777777" w:rsidR="00260214" w:rsidRDefault="00260214" w:rsidP="00311516">
            <w:pPr>
              <w:jc w:val="center"/>
            </w:pPr>
          </w:p>
          <w:p w14:paraId="2EACE318" w14:textId="77777777" w:rsidR="00260214" w:rsidRDefault="00260214" w:rsidP="00311516">
            <w:pPr>
              <w:jc w:val="center"/>
            </w:pPr>
            <w:r>
              <w:t>________________________________________________________________________________</w:t>
            </w:r>
          </w:p>
          <w:p w14:paraId="3990E776" w14:textId="77777777" w:rsidR="00260214" w:rsidRDefault="00260214" w:rsidP="00311516">
            <w:pPr>
              <w:jc w:val="center"/>
            </w:pPr>
          </w:p>
          <w:p w14:paraId="070C683F" w14:textId="77777777" w:rsidR="00260214" w:rsidRDefault="00260214" w:rsidP="00311516">
            <w:pPr>
              <w:jc w:val="center"/>
            </w:pPr>
            <w:r>
              <w:t>If you want to appeal this decision and to use the inquiry procedure, you now need to tell us, and the Planning Inspectorate, at least 10 working days in advance of appeal submission by emailing inquiryappeals@planninginspectorate.gov.uk and planning.appeals@birmingham.gov.uk of your intention.  More information on this and a template to attach to your email can be found at https://www.gov.uk/government/publications/notification-of-intention-to-submit-an-appeal. Infomation and links to making any appeal can be found at https://www.gov.uk/appeal-planning-decision.</w:t>
            </w:r>
          </w:p>
        </w:tc>
      </w:tr>
    </w:tbl>
    <w:p w14:paraId="04FDBDB8" w14:textId="77777777" w:rsidR="0081641D" w:rsidRDefault="0081641D" w:rsidP="00990007">
      <w:pPr>
        <w:jc w:val="center"/>
      </w:pPr>
    </w:p>
    <w:p w14:paraId="1563F71E" w14:textId="77777777" w:rsidR="0074117A" w:rsidRPr="0081641D" w:rsidRDefault="0074117A" w:rsidP="0081641D">
      <w:pPr>
        <w:jc w:val="center"/>
        <w:rPr>
          <w:sz w:val="24"/>
          <w:lang w:val="en-US"/>
        </w:rPr>
      </w:pPr>
    </w:p>
    <w:sectPr w:rsidR="0074117A" w:rsidRPr="0081641D" w:rsidSect="00113A4E">
      <w:headerReference w:type="default" r:id="rId7"/>
      <w:footerReference w:type="even" r:id="rId8"/>
      <w:footerReference w:type="default" r:id="rId9"/>
      <w:footerReference w:type="first" r:id="rId10"/>
      <w:pgSz w:w="11906" w:h="16838" w:code="9"/>
      <w:pgMar w:top="284" w:right="567" w:bottom="567"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0C5F" w14:textId="77777777" w:rsidR="00113A4E" w:rsidRDefault="00113A4E">
      <w:r>
        <w:separator/>
      </w:r>
    </w:p>
  </w:endnote>
  <w:endnote w:type="continuationSeparator" w:id="0">
    <w:p w14:paraId="658236DF" w14:textId="77777777" w:rsidR="00113A4E" w:rsidRDefault="0011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5994" w14:textId="098B7052" w:rsidR="00B73C02" w:rsidRDefault="00B73C02">
    <w:pPr>
      <w:pStyle w:val="Footer"/>
    </w:pPr>
    <w:r>
      <w:rPr>
        <w:noProof/>
      </w:rPr>
      <mc:AlternateContent>
        <mc:Choice Requires="wps">
          <w:drawing>
            <wp:anchor distT="0" distB="0" distL="0" distR="0" simplePos="0" relativeHeight="251659776" behindDoc="0" locked="0" layoutInCell="1" allowOverlap="1" wp14:anchorId="4560B475" wp14:editId="0DC98B3A">
              <wp:simplePos x="635" y="635"/>
              <wp:positionH relativeFrom="page">
                <wp:align>center</wp:align>
              </wp:positionH>
              <wp:positionV relativeFrom="page">
                <wp:align>bottom</wp:align>
              </wp:positionV>
              <wp:extent cx="443865" cy="443865"/>
              <wp:effectExtent l="0" t="0" r="16510" b="0"/>
              <wp:wrapNone/>
              <wp:docPr id="150381639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7D164" w14:textId="50C8E2A3" w:rsidR="00B73C02" w:rsidRPr="00B73C02" w:rsidRDefault="00B73C02" w:rsidP="00B73C02">
                          <w:pPr>
                            <w:rPr>
                              <w:rFonts w:ascii="Calibri" w:eastAsia="Calibri" w:hAnsi="Calibri" w:cs="Calibri"/>
                              <w:noProof/>
                              <w:color w:val="000000"/>
                              <w:sz w:val="20"/>
                              <w:szCs w:val="20"/>
                            </w:rPr>
                          </w:pPr>
                          <w:r w:rsidRPr="00B73C0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60B475"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417D164" w14:textId="50C8E2A3" w:rsidR="00B73C02" w:rsidRPr="00B73C02" w:rsidRDefault="00B73C02" w:rsidP="00B73C02">
                    <w:pPr>
                      <w:rPr>
                        <w:rFonts w:ascii="Calibri" w:eastAsia="Calibri" w:hAnsi="Calibri" w:cs="Calibri"/>
                        <w:noProof/>
                        <w:color w:val="000000"/>
                        <w:sz w:val="20"/>
                        <w:szCs w:val="20"/>
                      </w:rPr>
                    </w:pPr>
                    <w:r w:rsidRPr="00B73C0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141" w14:textId="736B3A38" w:rsidR="0003120A" w:rsidRPr="00B050A2" w:rsidRDefault="00B73C02" w:rsidP="0081641D">
    <w:pPr>
      <w:pStyle w:val="Footer"/>
      <w:jc w:val="center"/>
      <w:rPr>
        <w:rFonts w:cs="Tahoma"/>
        <w:sz w:val="8"/>
      </w:rPr>
    </w:pPr>
    <w:r>
      <w:rPr>
        <w:rFonts w:cs="Tahoma"/>
        <w:noProof/>
      </w:rPr>
      <mc:AlternateContent>
        <mc:Choice Requires="wps">
          <w:drawing>
            <wp:anchor distT="0" distB="0" distL="0" distR="0" simplePos="0" relativeHeight="251660800" behindDoc="0" locked="0" layoutInCell="1" allowOverlap="1" wp14:anchorId="73A559EC" wp14:editId="0FC1B030">
              <wp:simplePos x="361950" y="10172700"/>
              <wp:positionH relativeFrom="page">
                <wp:align>center</wp:align>
              </wp:positionH>
              <wp:positionV relativeFrom="page">
                <wp:align>bottom</wp:align>
              </wp:positionV>
              <wp:extent cx="443865" cy="443865"/>
              <wp:effectExtent l="0" t="0" r="16510" b="0"/>
              <wp:wrapNone/>
              <wp:docPr id="35320720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D388A4" w14:textId="622DC621" w:rsidR="00B73C02" w:rsidRPr="00B73C02" w:rsidRDefault="00B73C02" w:rsidP="00B73C02">
                          <w:pPr>
                            <w:rPr>
                              <w:rFonts w:ascii="Calibri" w:eastAsia="Calibri" w:hAnsi="Calibri" w:cs="Calibri"/>
                              <w:noProof/>
                              <w:color w:val="000000"/>
                              <w:sz w:val="20"/>
                              <w:szCs w:val="20"/>
                            </w:rPr>
                          </w:pPr>
                          <w:r w:rsidRPr="00B73C0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A559EC"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D388A4" w14:textId="622DC621" w:rsidR="00B73C02" w:rsidRPr="00B73C02" w:rsidRDefault="00B73C02" w:rsidP="00B73C02">
                    <w:pPr>
                      <w:rPr>
                        <w:rFonts w:ascii="Calibri" w:eastAsia="Calibri" w:hAnsi="Calibri" w:cs="Calibri"/>
                        <w:noProof/>
                        <w:color w:val="000000"/>
                        <w:sz w:val="20"/>
                        <w:szCs w:val="20"/>
                      </w:rPr>
                    </w:pPr>
                    <w:r w:rsidRPr="00B73C02">
                      <w:rPr>
                        <w:rFonts w:ascii="Calibri" w:eastAsia="Calibri" w:hAnsi="Calibri" w:cs="Calibri"/>
                        <w:noProof/>
                        <w:color w:val="000000"/>
                        <w:sz w:val="20"/>
                        <w:szCs w:val="20"/>
                      </w:rPr>
                      <w:t>OFFICIAL</w:t>
                    </w:r>
                  </w:p>
                </w:txbxContent>
              </v:textbox>
              <w10:wrap anchorx="page" anchory="page"/>
            </v:shape>
          </w:pict>
        </mc:Fallback>
      </mc:AlternateContent>
    </w:r>
    <w:r w:rsidR="0003120A" w:rsidRPr="00B050A2">
      <w:rPr>
        <w:rFonts w:cs="Tahoma"/>
      </w:rPr>
      <w:t xml:space="preserve">Page </w:t>
    </w:r>
    <w:r w:rsidR="0003120A" w:rsidRPr="00B050A2">
      <w:rPr>
        <w:rStyle w:val="PageNumber"/>
        <w:rFonts w:cs="Tahoma"/>
        <w:b/>
        <w:bCs/>
      </w:rPr>
      <w:fldChar w:fldCharType="begin"/>
    </w:r>
    <w:r w:rsidR="0003120A" w:rsidRPr="00B050A2">
      <w:rPr>
        <w:rStyle w:val="PageNumber"/>
        <w:rFonts w:cs="Tahoma"/>
        <w:b/>
        <w:bCs/>
      </w:rPr>
      <w:instrText xml:space="preserve"> PAGE </w:instrText>
    </w:r>
    <w:r w:rsidR="0003120A" w:rsidRPr="00B050A2">
      <w:rPr>
        <w:rStyle w:val="PageNumber"/>
        <w:rFonts w:cs="Tahoma"/>
        <w:b/>
        <w:bCs/>
      </w:rPr>
      <w:fldChar w:fldCharType="separate"/>
    </w:r>
    <w:r w:rsidR="00631147">
      <w:rPr>
        <w:rStyle w:val="PageNumber"/>
        <w:rFonts w:cs="Tahoma"/>
        <w:b/>
        <w:bCs/>
        <w:noProof/>
      </w:rPr>
      <w:t>1</w:t>
    </w:r>
    <w:r w:rsidR="0003120A" w:rsidRPr="00B050A2">
      <w:rPr>
        <w:rStyle w:val="PageNumber"/>
        <w:rFonts w:cs="Tahoma"/>
        <w:b/>
        <w:bCs/>
      </w:rPr>
      <w:fldChar w:fldCharType="end"/>
    </w:r>
    <w:r w:rsidR="0003120A" w:rsidRPr="00B050A2">
      <w:rPr>
        <w:rStyle w:val="PageNumber"/>
        <w:rFonts w:cs="Tahoma"/>
      </w:rPr>
      <w:t xml:space="preserve"> of </w:t>
    </w:r>
    <w:r w:rsidR="0003120A" w:rsidRPr="00B050A2">
      <w:rPr>
        <w:rStyle w:val="PageNumber"/>
        <w:rFonts w:cs="Tahoma"/>
        <w:b/>
        <w:bCs/>
      </w:rPr>
      <w:fldChar w:fldCharType="begin"/>
    </w:r>
    <w:r w:rsidR="0003120A" w:rsidRPr="00B050A2">
      <w:rPr>
        <w:rStyle w:val="PageNumber"/>
        <w:rFonts w:cs="Tahoma"/>
        <w:b/>
        <w:bCs/>
      </w:rPr>
      <w:instrText xml:space="preserve"> NUMPAGES </w:instrText>
    </w:r>
    <w:r w:rsidR="0003120A" w:rsidRPr="00B050A2">
      <w:rPr>
        <w:rStyle w:val="PageNumber"/>
        <w:rFonts w:cs="Tahoma"/>
        <w:b/>
        <w:bCs/>
      </w:rPr>
      <w:fldChar w:fldCharType="separate"/>
    </w:r>
    <w:r w:rsidR="00631147">
      <w:rPr>
        <w:rStyle w:val="PageNumber"/>
        <w:rFonts w:cs="Tahoma"/>
        <w:b/>
        <w:bCs/>
        <w:noProof/>
      </w:rPr>
      <w:t>1</w:t>
    </w:r>
    <w:r w:rsidR="0003120A" w:rsidRPr="00B050A2">
      <w:rPr>
        <w:rStyle w:val="PageNumber"/>
        <w:rFonts w:cs="Tahoma"/>
        <w:b/>
        <w:bCs/>
      </w:rPr>
      <w:fldChar w:fldCharType="end"/>
    </w:r>
  </w:p>
  <w:p w14:paraId="5D95BE31" w14:textId="77777777" w:rsidR="0081641D" w:rsidRDefault="008164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5E9D" w14:textId="36B930AB" w:rsidR="00B73C02" w:rsidRDefault="00B73C02">
    <w:pPr>
      <w:pStyle w:val="Footer"/>
    </w:pPr>
    <w:r>
      <w:rPr>
        <w:noProof/>
      </w:rPr>
      <mc:AlternateContent>
        <mc:Choice Requires="wps">
          <w:drawing>
            <wp:anchor distT="0" distB="0" distL="0" distR="0" simplePos="0" relativeHeight="251658752" behindDoc="0" locked="0" layoutInCell="1" allowOverlap="1" wp14:anchorId="798CE516" wp14:editId="65335F56">
              <wp:simplePos x="635" y="635"/>
              <wp:positionH relativeFrom="page">
                <wp:align>center</wp:align>
              </wp:positionH>
              <wp:positionV relativeFrom="page">
                <wp:align>bottom</wp:align>
              </wp:positionV>
              <wp:extent cx="443865" cy="443865"/>
              <wp:effectExtent l="0" t="0" r="16510" b="0"/>
              <wp:wrapNone/>
              <wp:docPr id="183144456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A8018" w14:textId="17B10571" w:rsidR="00B73C02" w:rsidRPr="00B73C02" w:rsidRDefault="00B73C02" w:rsidP="00B73C02">
                          <w:pPr>
                            <w:rPr>
                              <w:rFonts w:ascii="Calibri" w:eastAsia="Calibri" w:hAnsi="Calibri" w:cs="Calibri"/>
                              <w:noProof/>
                              <w:color w:val="000000"/>
                              <w:sz w:val="20"/>
                              <w:szCs w:val="20"/>
                            </w:rPr>
                          </w:pPr>
                          <w:r w:rsidRPr="00B73C0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CE516"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41A8018" w14:textId="17B10571" w:rsidR="00B73C02" w:rsidRPr="00B73C02" w:rsidRDefault="00B73C02" w:rsidP="00B73C02">
                    <w:pPr>
                      <w:rPr>
                        <w:rFonts w:ascii="Calibri" w:eastAsia="Calibri" w:hAnsi="Calibri" w:cs="Calibri"/>
                        <w:noProof/>
                        <w:color w:val="000000"/>
                        <w:sz w:val="20"/>
                        <w:szCs w:val="20"/>
                      </w:rPr>
                    </w:pPr>
                    <w:r w:rsidRPr="00B73C0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9A55" w14:textId="77777777" w:rsidR="00113A4E" w:rsidRDefault="00113A4E">
      <w:r>
        <w:separator/>
      </w:r>
    </w:p>
  </w:footnote>
  <w:footnote w:type="continuationSeparator" w:id="0">
    <w:p w14:paraId="184C1C3D" w14:textId="77777777" w:rsidR="00113A4E" w:rsidRDefault="0011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AA7A" w14:textId="322E51A4" w:rsidR="002635BB" w:rsidRPr="002635BB" w:rsidRDefault="00464318">
    <w:pPr>
      <w:pStyle w:val="Header"/>
      <w:rPr>
        <w:sz w:val="8"/>
        <w:szCs w:val="8"/>
      </w:rPr>
    </w:pPr>
    <w:r w:rsidRPr="002635BB">
      <w:rPr>
        <w:noProof/>
        <w:sz w:val="8"/>
        <w:szCs w:val="8"/>
        <w:lang w:eastAsia="en-GB"/>
      </w:rPr>
      <mc:AlternateContent>
        <mc:Choice Requires="wps">
          <w:drawing>
            <wp:anchor distT="0" distB="0" distL="114300" distR="114300" simplePos="0" relativeHeight="251657728" behindDoc="1" locked="0" layoutInCell="1" allowOverlap="1" wp14:anchorId="77711C39" wp14:editId="6E2590BB">
              <wp:simplePos x="0" y="0"/>
              <wp:positionH relativeFrom="column">
                <wp:posOffset>-41910</wp:posOffset>
              </wp:positionH>
              <wp:positionV relativeFrom="paragraph">
                <wp:posOffset>3757930</wp:posOffset>
              </wp:positionV>
              <wp:extent cx="7018020" cy="1369060"/>
              <wp:effectExtent l="2199640" t="0" r="2193925" b="0"/>
              <wp:wrapNone/>
              <wp:docPr id="86723623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454113">
                        <a:off x="0" y="0"/>
                        <a:ext cx="7018020" cy="1369060"/>
                      </a:xfrm>
                      <a:prstGeom prst="rect">
                        <a:avLst/>
                      </a:prstGeom>
                      <a:extLst>
                        <a:ext uri="{AF507438-7753-43E0-B8FC-AC1667EBCBE1}">
                          <a14:hiddenEffects xmlns:a14="http://schemas.microsoft.com/office/drawing/2010/main">
                            <a:effectLst/>
                          </a14:hiddenEffects>
                        </a:ext>
                      </a:extLst>
                    </wps:spPr>
                    <wps:txbx>
                      <w:txbxContent>
                        <w:p w14:paraId="64CCCC0B" w14:textId="77777777" w:rsidR="00464318" w:rsidRDefault="00464318" w:rsidP="00464318">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solidFill>
                                  <w14:srgbClr w14:val="FFFFFF"/>
                                </w14:solid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solidFill>
                                  <w14:srgbClr w14:val="FFFFFF"/>
                                </w14:solidFill>
                              </w14:textFill>
                            </w:rPr>
                            <w:t>REFUSAL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711C39" id="_x0000_t202" coordsize="21600,21600" o:spt="202" path="m,l,21600r21600,l21600,xe">
              <v:stroke joinstyle="miter"/>
              <v:path gradientshapeok="t" o:connecttype="rect"/>
            </v:shapetype>
            <v:shape id="WordArt 13" o:spid="_x0000_s1026" type="#_x0000_t202" style="position:absolute;margin-left:-3.3pt;margin-top:295.9pt;width:552.6pt;height:107.8pt;rotation:-3117452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" filled="f" stroked="f">
              <o:lock v:ext="edit" shapetype="t"/>
              <v:textbox style="mso-fit-shape-to-text:t">
                <w:txbxContent>
                  <w:p w14:paraId="64CCCC0B" w14:textId="77777777" w:rsidR="00464318" w:rsidRDefault="00464318" w:rsidP="00464318">
                    <w:pPr>
                      <w:jc w:val="center"/>
                      <w:rPr>
                        <w:rFonts w:ascii="Arial" w:hAnsi="Arial" w:cs="Arial"/>
                        <w:outline/>
                        <w:color w:val="C0C0C0"/>
                        <w:sz w:val="72"/>
                        <w:szCs w:val="72"/>
                        <w14:textOutline w14:w="19050" w14:cap="flat" w14:cmpd="sng" w14:algn="ctr">
                          <w14:solidFill>
                            <w14:srgbClr w14:val="C0C0C0"/>
                          </w14:solidFill>
                          <w14:prstDash w14:val="solid"/>
                          <w14:round/>
                        </w14:textOutline>
                        <w14:textFill>
                          <w14:solidFill>
                            <w14:srgbClr w14:val="FFFFFF"/>
                          </w14:solidFill>
                        </w14:textFill>
                      </w:rPr>
                    </w:pPr>
                    <w:r>
                      <w:rPr>
                        <w:rFonts w:ascii="Arial" w:hAnsi="Arial" w:cs="Arial"/>
                        <w:outline/>
                        <w:color w:val="C0C0C0"/>
                        <w:sz w:val="72"/>
                        <w:szCs w:val="72"/>
                        <w14:textOutline w14:w="19050" w14:cap="flat" w14:cmpd="sng" w14:algn="ctr">
                          <w14:solidFill>
                            <w14:srgbClr w14:val="C0C0C0"/>
                          </w14:solidFill>
                          <w14:prstDash w14:val="solid"/>
                          <w14:round/>
                        </w14:textOutline>
                        <w14:textFill>
                          <w14:solidFill>
                            <w14:srgbClr w14:val="FFFFFF"/>
                          </w14:solidFill>
                        </w14:textFill>
                      </w:rPr>
                      <w:t>REFUSAL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otZFLS5jI7rQrV0bqQKLu4OXOUi9dqjLz5Wmb3iyx3qzUoqIPKsiTcaA+HbC2SB"/>
  </w:docVars>
  <w:rsids>
    <w:rsidRoot w:val="00260214"/>
    <w:rsid w:val="00007BE9"/>
    <w:rsid w:val="00022A49"/>
    <w:rsid w:val="000254AF"/>
    <w:rsid w:val="0003120A"/>
    <w:rsid w:val="00042768"/>
    <w:rsid w:val="00043306"/>
    <w:rsid w:val="00066337"/>
    <w:rsid w:val="00067F46"/>
    <w:rsid w:val="00075912"/>
    <w:rsid w:val="00075C37"/>
    <w:rsid w:val="0009544E"/>
    <w:rsid w:val="000A450D"/>
    <w:rsid w:val="000B2AF1"/>
    <w:rsid w:val="000B7A48"/>
    <w:rsid w:val="000C5AF8"/>
    <w:rsid w:val="000E10EC"/>
    <w:rsid w:val="00113A4E"/>
    <w:rsid w:val="00115DFE"/>
    <w:rsid w:val="001229CB"/>
    <w:rsid w:val="00122C99"/>
    <w:rsid w:val="001543E0"/>
    <w:rsid w:val="0015616C"/>
    <w:rsid w:val="001622F2"/>
    <w:rsid w:val="00163834"/>
    <w:rsid w:val="00163B0D"/>
    <w:rsid w:val="001644DC"/>
    <w:rsid w:val="00171238"/>
    <w:rsid w:val="0017661B"/>
    <w:rsid w:val="001852F3"/>
    <w:rsid w:val="001A317A"/>
    <w:rsid w:val="001A47E7"/>
    <w:rsid w:val="001B2C6F"/>
    <w:rsid w:val="001B7BAF"/>
    <w:rsid w:val="001D53FD"/>
    <w:rsid w:val="001D5794"/>
    <w:rsid w:val="001E5A65"/>
    <w:rsid w:val="001E76BD"/>
    <w:rsid w:val="002176A4"/>
    <w:rsid w:val="002235D3"/>
    <w:rsid w:val="00225202"/>
    <w:rsid w:val="00231264"/>
    <w:rsid w:val="0023418B"/>
    <w:rsid w:val="00245F50"/>
    <w:rsid w:val="002476AE"/>
    <w:rsid w:val="00260214"/>
    <w:rsid w:val="00262D2D"/>
    <w:rsid w:val="002635BB"/>
    <w:rsid w:val="002638D9"/>
    <w:rsid w:val="00271773"/>
    <w:rsid w:val="002800A6"/>
    <w:rsid w:val="00280D15"/>
    <w:rsid w:val="00281CCD"/>
    <w:rsid w:val="00282089"/>
    <w:rsid w:val="00282D82"/>
    <w:rsid w:val="00283A64"/>
    <w:rsid w:val="00294C26"/>
    <w:rsid w:val="002A3A80"/>
    <w:rsid w:val="002C5B4F"/>
    <w:rsid w:val="002E1C61"/>
    <w:rsid w:val="002F28CA"/>
    <w:rsid w:val="0031093D"/>
    <w:rsid w:val="00311516"/>
    <w:rsid w:val="00313BC4"/>
    <w:rsid w:val="00331F07"/>
    <w:rsid w:val="0034370C"/>
    <w:rsid w:val="003519B5"/>
    <w:rsid w:val="00361A8B"/>
    <w:rsid w:val="0036554C"/>
    <w:rsid w:val="0037672A"/>
    <w:rsid w:val="003833A9"/>
    <w:rsid w:val="00390F84"/>
    <w:rsid w:val="003A3586"/>
    <w:rsid w:val="003C2428"/>
    <w:rsid w:val="003C6C1E"/>
    <w:rsid w:val="003D6BD4"/>
    <w:rsid w:val="003F37C1"/>
    <w:rsid w:val="00402DDA"/>
    <w:rsid w:val="0040421B"/>
    <w:rsid w:val="004117AE"/>
    <w:rsid w:val="0044080F"/>
    <w:rsid w:val="004436CF"/>
    <w:rsid w:val="0044608F"/>
    <w:rsid w:val="00446B66"/>
    <w:rsid w:val="00464318"/>
    <w:rsid w:val="004A6DDD"/>
    <w:rsid w:val="004C635B"/>
    <w:rsid w:val="004D0C74"/>
    <w:rsid w:val="004F7B0A"/>
    <w:rsid w:val="00503207"/>
    <w:rsid w:val="00504F1D"/>
    <w:rsid w:val="00511FAD"/>
    <w:rsid w:val="00555D59"/>
    <w:rsid w:val="005858EC"/>
    <w:rsid w:val="00593541"/>
    <w:rsid w:val="005C1D8A"/>
    <w:rsid w:val="005D2820"/>
    <w:rsid w:val="005E1671"/>
    <w:rsid w:val="005E2859"/>
    <w:rsid w:val="00607F28"/>
    <w:rsid w:val="00625F42"/>
    <w:rsid w:val="00631147"/>
    <w:rsid w:val="00652CB0"/>
    <w:rsid w:val="00655F8E"/>
    <w:rsid w:val="00660DD3"/>
    <w:rsid w:val="00676EDB"/>
    <w:rsid w:val="006819D3"/>
    <w:rsid w:val="006A280E"/>
    <w:rsid w:val="006B2F18"/>
    <w:rsid w:val="006B47AF"/>
    <w:rsid w:val="006B5B03"/>
    <w:rsid w:val="006C3019"/>
    <w:rsid w:val="0071677E"/>
    <w:rsid w:val="00717DB3"/>
    <w:rsid w:val="00726E10"/>
    <w:rsid w:val="007340BD"/>
    <w:rsid w:val="0074117A"/>
    <w:rsid w:val="00741769"/>
    <w:rsid w:val="00753768"/>
    <w:rsid w:val="007608C4"/>
    <w:rsid w:val="007658A1"/>
    <w:rsid w:val="00770225"/>
    <w:rsid w:val="007840F1"/>
    <w:rsid w:val="00795769"/>
    <w:rsid w:val="007B0076"/>
    <w:rsid w:val="007B6980"/>
    <w:rsid w:val="007C0936"/>
    <w:rsid w:val="007D41F7"/>
    <w:rsid w:val="007E1ABF"/>
    <w:rsid w:val="007E4ADD"/>
    <w:rsid w:val="007F350E"/>
    <w:rsid w:val="007F4C25"/>
    <w:rsid w:val="00800B83"/>
    <w:rsid w:val="00804044"/>
    <w:rsid w:val="0081641D"/>
    <w:rsid w:val="00822D75"/>
    <w:rsid w:val="00832E4B"/>
    <w:rsid w:val="00861439"/>
    <w:rsid w:val="008973F8"/>
    <w:rsid w:val="008B2272"/>
    <w:rsid w:val="008B4834"/>
    <w:rsid w:val="00922C06"/>
    <w:rsid w:val="00927258"/>
    <w:rsid w:val="009355A8"/>
    <w:rsid w:val="009617D6"/>
    <w:rsid w:val="00990007"/>
    <w:rsid w:val="009A5147"/>
    <w:rsid w:val="009B2163"/>
    <w:rsid w:val="009E3B82"/>
    <w:rsid w:val="009E42AD"/>
    <w:rsid w:val="00A57D2B"/>
    <w:rsid w:val="00A63865"/>
    <w:rsid w:val="00A76072"/>
    <w:rsid w:val="00AA2BC0"/>
    <w:rsid w:val="00AD526B"/>
    <w:rsid w:val="00AD782B"/>
    <w:rsid w:val="00AF28CE"/>
    <w:rsid w:val="00AF3AD1"/>
    <w:rsid w:val="00B050A2"/>
    <w:rsid w:val="00B05201"/>
    <w:rsid w:val="00B07AD2"/>
    <w:rsid w:val="00B40DD7"/>
    <w:rsid w:val="00B436C3"/>
    <w:rsid w:val="00B45B58"/>
    <w:rsid w:val="00B529C7"/>
    <w:rsid w:val="00B5397A"/>
    <w:rsid w:val="00B63071"/>
    <w:rsid w:val="00B73C02"/>
    <w:rsid w:val="00B864E6"/>
    <w:rsid w:val="00BE6B40"/>
    <w:rsid w:val="00C00661"/>
    <w:rsid w:val="00C067B7"/>
    <w:rsid w:val="00C13617"/>
    <w:rsid w:val="00C147F9"/>
    <w:rsid w:val="00C35FC8"/>
    <w:rsid w:val="00C461F7"/>
    <w:rsid w:val="00C47044"/>
    <w:rsid w:val="00C71EA8"/>
    <w:rsid w:val="00C815E5"/>
    <w:rsid w:val="00C95EB2"/>
    <w:rsid w:val="00CB21A3"/>
    <w:rsid w:val="00CD321C"/>
    <w:rsid w:val="00CD74CE"/>
    <w:rsid w:val="00D0150B"/>
    <w:rsid w:val="00D16669"/>
    <w:rsid w:val="00D2030A"/>
    <w:rsid w:val="00D21ED4"/>
    <w:rsid w:val="00D3457C"/>
    <w:rsid w:val="00D361C7"/>
    <w:rsid w:val="00D44386"/>
    <w:rsid w:val="00D4669D"/>
    <w:rsid w:val="00D97508"/>
    <w:rsid w:val="00DA0614"/>
    <w:rsid w:val="00DB0F0E"/>
    <w:rsid w:val="00DB535A"/>
    <w:rsid w:val="00DC7F98"/>
    <w:rsid w:val="00DD0D01"/>
    <w:rsid w:val="00DD2BBD"/>
    <w:rsid w:val="00DF4B4D"/>
    <w:rsid w:val="00E02F46"/>
    <w:rsid w:val="00E257CB"/>
    <w:rsid w:val="00E35FD8"/>
    <w:rsid w:val="00E4328F"/>
    <w:rsid w:val="00E47CEB"/>
    <w:rsid w:val="00EB3F2E"/>
    <w:rsid w:val="00ED6191"/>
    <w:rsid w:val="00F03A80"/>
    <w:rsid w:val="00F11A05"/>
    <w:rsid w:val="00F11A71"/>
    <w:rsid w:val="00F64FF0"/>
    <w:rsid w:val="00F71FD8"/>
    <w:rsid w:val="00F737C1"/>
    <w:rsid w:val="00F830A2"/>
    <w:rsid w:val="00F83AC7"/>
    <w:rsid w:val="00F86DCC"/>
    <w:rsid w:val="00F86F3A"/>
    <w:rsid w:val="00FA3D8B"/>
    <w:rsid w:val="00FA56AA"/>
    <w:rsid w:val="00FC1AB0"/>
    <w:rsid w:val="00FC6CA1"/>
    <w:rsid w:val="00FE6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F2E4F"/>
  <w15:chartTrackingRefBased/>
  <w15:docId w15:val="{EA7A8271-4850-4838-864A-36C5084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szCs w:val="24"/>
      <w:lang w:eastAsia="en-US"/>
    </w:rPr>
  </w:style>
  <w:style w:type="paragraph" w:styleId="Heading1">
    <w:name w:val="heading 1"/>
    <w:basedOn w:val="Normal"/>
    <w:next w:val="Normal"/>
    <w:link w:val="Heading1Char"/>
    <w:qFormat/>
    <w:rsid w:val="004643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rsid w:val="0081641D"/>
    <w:pPr>
      <w:keepNext/>
      <w:ind w:left="4320" w:firstLine="720"/>
      <w:outlineLvl w:val="2"/>
    </w:pPr>
    <w:rPr>
      <w:rFonts w:ascii="Arial" w:hAnsi="Arial"/>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03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4318"/>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53476">
      <w:bodyDiv w:val="1"/>
      <w:marLeft w:val="0"/>
      <w:marRight w:val="0"/>
      <w:marTop w:val="0"/>
      <w:marBottom w:val="0"/>
      <w:divBdr>
        <w:top w:val="none" w:sz="0" w:space="0" w:color="auto"/>
        <w:left w:val="none" w:sz="0" w:space="0" w:color="auto"/>
        <w:bottom w:val="none" w:sz="0" w:space="0" w:color="auto"/>
        <w:right w:val="none" w:sz="0" w:space="0" w:color="auto"/>
      </w:divBdr>
    </w:div>
    <w:div w:id="837307426">
      <w:bodyDiv w:val="1"/>
      <w:marLeft w:val="0"/>
      <w:marRight w:val="0"/>
      <w:marTop w:val="0"/>
      <w:marBottom w:val="0"/>
      <w:divBdr>
        <w:top w:val="none" w:sz="0" w:space="0" w:color="auto"/>
        <w:left w:val="none" w:sz="0" w:space="0" w:color="auto"/>
        <w:bottom w:val="none" w:sz="0" w:space="0" w:color="auto"/>
        <w:right w:val="none" w:sz="0" w:space="0" w:color="auto"/>
      </w:divBdr>
    </w:div>
    <w:div w:id="1851069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3plan-int-prod.brm.pri\Northgate\LandProperty\Win\LP\LIVE\Planning\Decision%20Document%20STD%20PR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Document STD PRE1</Template>
  <TotalTime>1</TotalTime>
  <Pages>2</Pages>
  <Words>665</Words>
  <Characters>4138</Characters>
  <Application>Microsoft Office Word</Application>
  <DocSecurity>0</DocSecurity>
  <Lines>103</Lines>
  <Paragraphs>43</Paragraphs>
  <ScaleCrop>false</ScaleCrop>
  <HeadingPairs>
    <vt:vector size="2" baseType="variant">
      <vt:variant>
        <vt:lpstr>Title</vt:lpstr>
      </vt:variant>
      <vt:variant>
        <vt:i4>1</vt:i4>
      </vt:variant>
    </vt:vector>
  </HeadingPairs>
  <TitlesOfParts>
    <vt:vector size="1" baseType="lpstr">
      <vt:lpstr>Ref</vt:lpstr>
    </vt:vector>
  </TitlesOfParts>
  <Company>Service Birmingham</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document</dc:title>
  <dc:subject/>
  <dc:creator>Ghalub Hussain</dc:creator>
  <cp:keywords/>
  <dc:description/>
  <cp:lastModifiedBy>Blessed Ephraim</cp:lastModifiedBy>
  <cp:revision>2</cp:revision>
  <cp:lastPrinted>2004-05-25T16:02:00Z</cp:lastPrinted>
  <dcterms:created xsi:type="dcterms:W3CDTF">2024-03-26T13:26:00Z</dcterms:created>
  <dcterms:modified xsi:type="dcterms:W3CDTF">2024-03-26T13:26:00Z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6d29a059,59a26ac8,150d83a5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2024-03-26T13:26:20Z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952f4fc9-fc8e-4dd2-aa38-e5c7210a34b5</vt:lpwstr>
  </property>
  <property fmtid="{D5CDD505-2E9C-101B-9397-08002B2CF9AE}" pid="11" name="MSIP_Label_a17471b1-27ab-4640-9264-e69a67407ca3_ContentBits">
    <vt:lpwstr>2</vt:lpwstr>
  </property>
</Properties>
</file>