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A5B4F" w14:textId="2C67B134" w:rsidR="00DA3AB8" w:rsidRDefault="00C25C3A" w:rsidP="00FE0F37">
      <w:r>
        <w:rPr>
          <w:noProof/>
        </w:rPr>
        <w:drawing>
          <wp:anchor distT="0" distB="0" distL="114300" distR="114300" simplePos="0" relativeHeight="251658240" behindDoc="0" locked="0" layoutInCell="1" allowOverlap="1" wp14:anchorId="2125D3C7" wp14:editId="2EBE730B">
            <wp:simplePos x="0" y="0"/>
            <wp:positionH relativeFrom="column">
              <wp:posOffset>-238760</wp:posOffset>
            </wp:positionH>
            <wp:positionV relativeFrom="paragraph">
              <wp:posOffset>-672465</wp:posOffset>
            </wp:positionV>
            <wp:extent cx="4395470" cy="1404620"/>
            <wp:effectExtent l="0" t="0" r="5080" b="5080"/>
            <wp:wrapNone/>
            <wp:docPr id="2" name="Picture 2" descr="BCC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CC Logo">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5470" cy="1404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305F09" w14:textId="453F6738" w:rsidR="004753F4" w:rsidRDefault="004753F4" w:rsidP="00FE0F37"/>
    <w:p w14:paraId="7B584585" w14:textId="029F30B7" w:rsidR="008544CD" w:rsidRDefault="008544CD" w:rsidP="008544CD">
      <w:pPr>
        <w:pStyle w:val="NoSpacing"/>
      </w:pPr>
    </w:p>
    <w:p w14:paraId="495C0A63" w14:textId="77777777" w:rsidR="00C25C3A" w:rsidRDefault="00C25C3A" w:rsidP="008544CD">
      <w:pPr>
        <w:pStyle w:val="NoSpacing"/>
        <w:rPr>
          <w:rFonts w:cs="Calibri"/>
          <w:b/>
          <w:sz w:val="24"/>
          <w:szCs w:val="24"/>
        </w:rPr>
      </w:pPr>
    </w:p>
    <w:p w14:paraId="562374A7" w14:textId="1AABBC1B" w:rsidR="008544CD" w:rsidRPr="00132699" w:rsidRDefault="008544CD" w:rsidP="00132699">
      <w:pPr>
        <w:pStyle w:val="Heading1"/>
        <w:rPr>
          <w:sz w:val="24"/>
          <w:szCs w:val="24"/>
        </w:rPr>
      </w:pPr>
      <w:r w:rsidRPr="00132699">
        <w:rPr>
          <w:rFonts w:cs="Calibri"/>
          <w:sz w:val="24"/>
          <w:szCs w:val="24"/>
        </w:rPr>
        <w:t>Report to:</w:t>
      </w:r>
      <w:r w:rsidRPr="00132699">
        <w:rPr>
          <w:rFonts w:cs="Calibri"/>
          <w:sz w:val="24"/>
          <w:szCs w:val="24"/>
        </w:rPr>
        <w:tab/>
      </w:r>
      <w:r w:rsidR="00F32E4C" w:rsidRPr="00132699">
        <w:rPr>
          <w:sz w:val="24"/>
          <w:szCs w:val="24"/>
        </w:rPr>
        <w:t>Schools</w:t>
      </w:r>
      <w:r w:rsidR="00BD64AD" w:rsidRPr="00132699">
        <w:rPr>
          <w:sz w:val="24"/>
          <w:szCs w:val="24"/>
        </w:rPr>
        <w:t>’</w:t>
      </w:r>
      <w:r w:rsidR="00F32E4C" w:rsidRPr="00132699">
        <w:rPr>
          <w:sz w:val="24"/>
          <w:szCs w:val="24"/>
        </w:rPr>
        <w:t xml:space="preserve"> Forum</w:t>
      </w:r>
      <w:r w:rsidR="003266DB" w:rsidRPr="00132699">
        <w:rPr>
          <w:sz w:val="24"/>
          <w:szCs w:val="24"/>
        </w:rPr>
        <w:t xml:space="preserve"> </w:t>
      </w:r>
    </w:p>
    <w:p w14:paraId="293EFC0B" w14:textId="77777777" w:rsidR="00F32E4C" w:rsidRPr="00B33074" w:rsidRDefault="00F32E4C" w:rsidP="008544CD">
      <w:pPr>
        <w:pStyle w:val="NoSpacing"/>
        <w:rPr>
          <w:rFonts w:ascii="Arial" w:hAnsi="Arial" w:cs="Arial"/>
          <w:b/>
        </w:rPr>
      </w:pPr>
    </w:p>
    <w:p w14:paraId="7057EF82" w14:textId="15B58F5B" w:rsidR="008544CD" w:rsidRPr="00B33074" w:rsidRDefault="007614A4" w:rsidP="008544CD">
      <w:pPr>
        <w:pStyle w:val="NoSpacing"/>
        <w:rPr>
          <w:rFonts w:ascii="Arial" w:hAnsi="Arial" w:cs="Arial"/>
          <w:b/>
        </w:rPr>
      </w:pPr>
      <w:r>
        <w:rPr>
          <w:rFonts w:ascii="Arial" w:hAnsi="Arial" w:cs="Arial"/>
          <w:b/>
        </w:rPr>
        <w:t>Date</w:t>
      </w:r>
      <w:r w:rsidR="00915A7A">
        <w:rPr>
          <w:rFonts w:ascii="Arial" w:hAnsi="Arial" w:cs="Arial"/>
          <w:b/>
        </w:rPr>
        <w:t>:</w:t>
      </w:r>
      <w:r>
        <w:rPr>
          <w:rFonts w:ascii="Arial" w:hAnsi="Arial" w:cs="Arial"/>
          <w:b/>
        </w:rPr>
        <w:tab/>
      </w:r>
      <w:r>
        <w:rPr>
          <w:rFonts w:ascii="Arial" w:hAnsi="Arial" w:cs="Arial"/>
          <w:b/>
        </w:rPr>
        <w:tab/>
      </w:r>
      <w:r w:rsidR="00E320C5">
        <w:rPr>
          <w:rFonts w:ascii="Arial" w:hAnsi="Arial" w:cs="Arial"/>
          <w:b/>
        </w:rPr>
        <w:t>19</w:t>
      </w:r>
      <w:r w:rsidR="006F6961">
        <w:rPr>
          <w:rFonts w:ascii="Arial" w:hAnsi="Arial" w:cs="Arial"/>
          <w:b/>
        </w:rPr>
        <w:t>th</w:t>
      </w:r>
      <w:r>
        <w:rPr>
          <w:rFonts w:ascii="Arial" w:hAnsi="Arial" w:cs="Arial"/>
          <w:b/>
        </w:rPr>
        <w:t xml:space="preserve"> January 202</w:t>
      </w:r>
      <w:r w:rsidR="00BD64AD">
        <w:rPr>
          <w:rFonts w:ascii="Arial" w:hAnsi="Arial" w:cs="Arial"/>
          <w:b/>
        </w:rPr>
        <w:t>3</w:t>
      </w:r>
    </w:p>
    <w:p w14:paraId="788C534C" w14:textId="77777777" w:rsidR="008544CD" w:rsidRPr="00B33074" w:rsidRDefault="008544CD" w:rsidP="008544CD">
      <w:pPr>
        <w:pStyle w:val="NoSpacing"/>
        <w:rPr>
          <w:rFonts w:ascii="Arial" w:hAnsi="Arial" w:cs="Arial"/>
          <w:b/>
        </w:rPr>
      </w:pPr>
    </w:p>
    <w:p w14:paraId="3A647B3A" w14:textId="2CE90E86" w:rsidR="008544CD" w:rsidRDefault="008544CD" w:rsidP="007E696A">
      <w:pPr>
        <w:pStyle w:val="NoSpacing"/>
        <w:ind w:left="1440" w:hanging="1440"/>
        <w:rPr>
          <w:rFonts w:ascii="Arial" w:hAnsi="Arial" w:cs="Arial"/>
          <w:b/>
        </w:rPr>
      </w:pPr>
      <w:r w:rsidRPr="00B33074">
        <w:rPr>
          <w:rFonts w:ascii="Arial" w:hAnsi="Arial" w:cs="Arial"/>
          <w:b/>
        </w:rPr>
        <w:t>Report of:</w:t>
      </w:r>
      <w:r w:rsidRPr="00B33074">
        <w:rPr>
          <w:rFonts w:ascii="Arial" w:hAnsi="Arial" w:cs="Arial"/>
          <w:b/>
        </w:rPr>
        <w:tab/>
      </w:r>
      <w:r w:rsidR="00E320C5">
        <w:rPr>
          <w:rFonts w:ascii="Arial" w:hAnsi="Arial" w:cs="Arial"/>
          <w:b/>
        </w:rPr>
        <w:t>Terry Shaw, Schools Funding Manager</w:t>
      </w:r>
      <w:r w:rsidR="009F01AD">
        <w:rPr>
          <w:rFonts w:ascii="Arial" w:hAnsi="Arial" w:cs="Arial"/>
          <w:b/>
        </w:rPr>
        <w:t xml:space="preserve"> </w:t>
      </w:r>
    </w:p>
    <w:p w14:paraId="3BD83A36" w14:textId="77777777" w:rsidR="00EA4A73" w:rsidRPr="00B33074" w:rsidRDefault="00EA4A73" w:rsidP="007E696A">
      <w:pPr>
        <w:pStyle w:val="NoSpacing"/>
        <w:ind w:left="1440" w:hanging="1440"/>
        <w:rPr>
          <w:rFonts w:ascii="Arial" w:hAnsi="Arial" w:cs="Arial"/>
          <w:b/>
        </w:rPr>
      </w:pPr>
    </w:p>
    <w:p w14:paraId="713DF0CC" w14:textId="4F6E4928" w:rsidR="0061434E" w:rsidRDefault="00EC624D" w:rsidP="007614A4">
      <w:pPr>
        <w:pStyle w:val="NoSpacing"/>
        <w:ind w:left="1395" w:hanging="1395"/>
        <w:rPr>
          <w:rFonts w:ascii="Arial" w:hAnsi="Arial" w:cs="Arial"/>
          <w:b/>
        </w:rPr>
      </w:pPr>
      <w:r w:rsidRPr="00B33074">
        <w:rPr>
          <w:rFonts w:ascii="Arial" w:hAnsi="Arial" w:cs="Arial"/>
          <w:b/>
        </w:rPr>
        <w:t>Title:</w:t>
      </w:r>
      <w:r w:rsidRPr="00B33074">
        <w:rPr>
          <w:rFonts w:ascii="Arial" w:hAnsi="Arial" w:cs="Arial"/>
          <w:b/>
        </w:rPr>
        <w:tab/>
      </w:r>
      <w:r w:rsidR="002606D7">
        <w:rPr>
          <w:rFonts w:ascii="Arial" w:hAnsi="Arial" w:cs="Arial"/>
          <w:b/>
        </w:rPr>
        <w:tab/>
      </w:r>
      <w:r w:rsidR="0072196D">
        <w:rPr>
          <w:rFonts w:ascii="Arial" w:hAnsi="Arial" w:cs="Arial"/>
          <w:b/>
        </w:rPr>
        <w:t>Dedicated Schools Grant Settlement 2023/24</w:t>
      </w:r>
    </w:p>
    <w:p w14:paraId="704BB160" w14:textId="77777777" w:rsidR="0061434E" w:rsidRDefault="0061434E" w:rsidP="008544CD">
      <w:pPr>
        <w:pStyle w:val="NoSpacing"/>
        <w:rPr>
          <w:rFonts w:ascii="Arial" w:hAnsi="Arial" w:cs="Arial"/>
          <w:b/>
        </w:rPr>
      </w:pPr>
    </w:p>
    <w:p w14:paraId="22E0A60A" w14:textId="63ADC84A" w:rsidR="008544CD" w:rsidRPr="00B33074" w:rsidRDefault="0061434E" w:rsidP="008544CD">
      <w:pPr>
        <w:pStyle w:val="NoSpacing"/>
        <w:rPr>
          <w:rFonts w:ascii="Arial" w:hAnsi="Arial" w:cs="Arial"/>
        </w:rPr>
      </w:pPr>
      <w:r>
        <w:rPr>
          <w:rFonts w:ascii="Arial" w:hAnsi="Arial" w:cs="Arial"/>
          <w:b/>
        </w:rPr>
        <w:t>Status</w:t>
      </w:r>
      <w:r w:rsidR="009C7087">
        <w:rPr>
          <w:rFonts w:ascii="Arial" w:hAnsi="Arial" w:cs="Arial"/>
          <w:b/>
        </w:rPr>
        <w:t>:</w:t>
      </w:r>
      <w:r w:rsidR="009C7087">
        <w:rPr>
          <w:rFonts w:ascii="Arial" w:hAnsi="Arial" w:cs="Arial"/>
          <w:b/>
        </w:rPr>
        <w:tab/>
      </w:r>
      <w:r>
        <w:rPr>
          <w:rFonts w:ascii="Arial" w:hAnsi="Arial" w:cs="Arial"/>
          <w:b/>
        </w:rPr>
        <w:t xml:space="preserve">For </w:t>
      </w:r>
      <w:r w:rsidR="0072196D">
        <w:rPr>
          <w:rFonts w:ascii="Arial" w:hAnsi="Arial" w:cs="Arial"/>
          <w:b/>
        </w:rPr>
        <w:t>Approval</w:t>
      </w:r>
    </w:p>
    <w:p w14:paraId="1F4E9258" w14:textId="77777777" w:rsidR="008544CD" w:rsidRPr="006C52BF" w:rsidRDefault="008544CD" w:rsidP="008544CD">
      <w:pPr>
        <w:pStyle w:val="NoSpacing"/>
        <w:rPr>
          <w:rFonts w:cs="Calibri"/>
          <w:sz w:val="24"/>
          <w:szCs w:val="24"/>
        </w:rPr>
      </w:pPr>
    </w:p>
    <w:p w14:paraId="2451031A" w14:textId="77777777" w:rsidR="00F32E4C" w:rsidRDefault="00F32E4C" w:rsidP="00F32E4C">
      <w:pPr>
        <w:pStyle w:val="NoSpacing"/>
        <w:jc w:val="both"/>
        <w:rPr>
          <w:rFonts w:cs="Calibri"/>
          <w:b/>
          <w:sz w:val="24"/>
          <w:szCs w:val="24"/>
        </w:rPr>
      </w:pPr>
    </w:p>
    <w:p w14:paraId="52F0BAB6" w14:textId="77777777" w:rsidR="007614A4" w:rsidRDefault="007614A4" w:rsidP="00F32E4C">
      <w:pPr>
        <w:pStyle w:val="NoSpacing"/>
        <w:jc w:val="both"/>
        <w:rPr>
          <w:rFonts w:cs="Calibri"/>
          <w:b/>
          <w:sz w:val="24"/>
          <w:szCs w:val="24"/>
        </w:rPr>
      </w:pPr>
      <w:r>
        <w:rPr>
          <w:rFonts w:cs="Calibri"/>
          <w:b/>
          <w:sz w:val="24"/>
          <w:szCs w:val="24"/>
        </w:rPr>
        <w:t>Purpose</w:t>
      </w:r>
    </w:p>
    <w:p w14:paraId="7837AFC8" w14:textId="77777777" w:rsidR="007614A4" w:rsidRDefault="007614A4" w:rsidP="00F32E4C">
      <w:pPr>
        <w:pStyle w:val="NoSpacing"/>
        <w:jc w:val="both"/>
        <w:rPr>
          <w:rFonts w:cs="Calibri"/>
          <w:b/>
          <w:sz w:val="24"/>
          <w:szCs w:val="24"/>
        </w:rPr>
      </w:pPr>
    </w:p>
    <w:p w14:paraId="0B5F796E" w14:textId="1847C3BB" w:rsidR="007614A4" w:rsidRDefault="007614A4" w:rsidP="007614A4">
      <w:pPr>
        <w:pStyle w:val="NoSpacing"/>
        <w:rPr>
          <w:rFonts w:cs="Calibri"/>
          <w:sz w:val="24"/>
          <w:szCs w:val="24"/>
        </w:rPr>
      </w:pPr>
      <w:r w:rsidRPr="007614A4">
        <w:rPr>
          <w:rFonts w:cs="Calibri"/>
          <w:sz w:val="24"/>
          <w:szCs w:val="24"/>
        </w:rPr>
        <w:t xml:space="preserve">The purpose of this report is to </w:t>
      </w:r>
      <w:r w:rsidR="0072196D">
        <w:rPr>
          <w:rFonts w:cs="Calibri"/>
          <w:sz w:val="24"/>
          <w:szCs w:val="24"/>
        </w:rPr>
        <w:t>inform</w:t>
      </w:r>
      <w:r w:rsidRPr="007614A4">
        <w:rPr>
          <w:rFonts w:cs="Calibri"/>
          <w:sz w:val="24"/>
          <w:szCs w:val="24"/>
        </w:rPr>
        <w:t xml:space="preserve"> Schools</w:t>
      </w:r>
      <w:r w:rsidR="0072196D">
        <w:rPr>
          <w:rFonts w:cs="Calibri"/>
          <w:sz w:val="24"/>
          <w:szCs w:val="24"/>
        </w:rPr>
        <w:t>’</w:t>
      </w:r>
      <w:r w:rsidRPr="007614A4">
        <w:rPr>
          <w:rFonts w:cs="Calibri"/>
          <w:sz w:val="24"/>
          <w:szCs w:val="24"/>
        </w:rPr>
        <w:t xml:space="preserve"> Forum </w:t>
      </w:r>
      <w:r w:rsidR="0072196D">
        <w:rPr>
          <w:rFonts w:cs="Calibri"/>
          <w:sz w:val="24"/>
          <w:szCs w:val="24"/>
        </w:rPr>
        <w:t>of the Dedicated Schools Grant settlement for 2023/24.</w:t>
      </w:r>
    </w:p>
    <w:p w14:paraId="68C2287B" w14:textId="1845D101" w:rsidR="007614A4" w:rsidRDefault="007614A4" w:rsidP="007614A4">
      <w:pPr>
        <w:pStyle w:val="NoSpacing"/>
        <w:rPr>
          <w:rFonts w:cs="Calibri"/>
          <w:sz w:val="24"/>
          <w:szCs w:val="24"/>
        </w:rPr>
      </w:pPr>
    </w:p>
    <w:p w14:paraId="496FD78C" w14:textId="77777777" w:rsidR="00010ECA" w:rsidRDefault="00010ECA" w:rsidP="007614A4">
      <w:pPr>
        <w:pStyle w:val="NoSpacing"/>
        <w:rPr>
          <w:rFonts w:cs="Calibri"/>
          <w:sz w:val="24"/>
          <w:szCs w:val="24"/>
        </w:rPr>
      </w:pPr>
    </w:p>
    <w:p w14:paraId="7B97E75F" w14:textId="032ECF77" w:rsidR="007614A4" w:rsidRDefault="007614A4" w:rsidP="007614A4">
      <w:pPr>
        <w:pStyle w:val="NoSpacing"/>
        <w:rPr>
          <w:rFonts w:cs="Calibri"/>
          <w:b/>
          <w:sz w:val="24"/>
          <w:szCs w:val="24"/>
        </w:rPr>
      </w:pPr>
      <w:r w:rsidRPr="007614A4">
        <w:rPr>
          <w:rFonts w:cs="Calibri"/>
          <w:b/>
          <w:sz w:val="24"/>
          <w:szCs w:val="24"/>
        </w:rPr>
        <w:t>Background</w:t>
      </w:r>
    </w:p>
    <w:p w14:paraId="35D9C945" w14:textId="7F0B2904" w:rsidR="0072196D" w:rsidRPr="0072196D" w:rsidRDefault="0072196D" w:rsidP="007614A4">
      <w:pPr>
        <w:pStyle w:val="NoSpacing"/>
        <w:rPr>
          <w:rFonts w:asciiTheme="minorHAnsi" w:hAnsiTheme="minorHAnsi" w:cstheme="minorHAnsi"/>
          <w:b/>
          <w:sz w:val="24"/>
          <w:szCs w:val="24"/>
        </w:rPr>
      </w:pPr>
    </w:p>
    <w:p w14:paraId="383B744B" w14:textId="77777777" w:rsidR="00167716" w:rsidRDefault="0072196D" w:rsidP="0072196D">
      <w:pPr>
        <w:pStyle w:val="NoSpacing"/>
        <w:rPr>
          <w:rFonts w:cs="Calibri"/>
          <w:sz w:val="24"/>
          <w:szCs w:val="24"/>
        </w:rPr>
      </w:pPr>
      <w:r w:rsidRPr="0072196D">
        <w:rPr>
          <w:rFonts w:cs="Calibri"/>
          <w:sz w:val="24"/>
          <w:szCs w:val="24"/>
        </w:rPr>
        <w:t xml:space="preserve">Schools receive funding via a variety of different funding streams, the main ones being the four blocks of the Dedicated School Grant (DSG), Pupil Premium, Education &amp; Skills Funding Agency (ESFA) Post 16 Funding and Universal Infant Free School Meals. </w:t>
      </w:r>
      <w:r w:rsidR="00167716">
        <w:rPr>
          <w:rFonts w:cs="Calibri"/>
          <w:sz w:val="24"/>
          <w:szCs w:val="24"/>
        </w:rPr>
        <w:t xml:space="preserve"> </w:t>
      </w:r>
    </w:p>
    <w:p w14:paraId="1A2B5398" w14:textId="77777777" w:rsidR="00167716" w:rsidRDefault="00167716" w:rsidP="0072196D">
      <w:pPr>
        <w:pStyle w:val="NoSpacing"/>
        <w:rPr>
          <w:rFonts w:cs="Calibri"/>
          <w:sz w:val="24"/>
          <w:szCs w:val="24"/>
        </w:rPr>
      </w:pPr>
    </w:p>
    <w:p w14:paraId="6A318433" w14:textId="635B4CBF" w:rsidR="0072196D" w:rsidRDefault="0072196D" w:rsidP="0072196D">
      <w:pPr>
        <w:pStyle w:val="NoSpacing"/>
        <w:rPr>
          <w:rFonts w:cs="Calibri"/>
          <w:sz w:val="24"/>
          <w:szCs w:val="24"/>
        </w:rPr>
      </w:pPr>
      <w:r w:rsidRPr="0072196D">
        <w:rPr>
          <w:rFonts w:cs="Calibri"/>
          <w:sz w:val="24"/>
          <w:szCs w:val="24"/>
        </w:rPr>
        <w:t>DSG is the main funding stream for schools and education services</w:t>
      </w:r>
      <w:r w:rsidR="00167716">
        <w:rPr>
          <w:rFonts w:cs="Calibri"/>
          <w:sz w:val="24"/>
          <w:szCs w:val="24"/>
        </w:rPr>
        <w:t xml:space="preserve"> and is split into the following four blocks of funding:</w:t>
      </w:r>
    </w:p>
    <w:p w14:paraId="409C1719" w14:textId="3F2F0082" w:rsidR="00167716" w:rsidRDefault="00167716" w:rsidP="0072196D">
      <w:pPr>
        <w:pStyle w:val="NoSpacing"/>
        <w:rPr>
          <w:rFonts w:cs="Calibri"/>
          <w:sz w:val="24"/>
          <w:szCs w:val="24"/>
        </w:rPr>
      </w:pPr>
    </w:p>
    <w:tbl>
      <w:tblPr>
        <w:tblStyle w:val="TableGrid"/>
        <w:tblW w:w="9776" w:type="dxa"/>
        <w:tblLook w:val="04A0" w:firstRow="1" w:lastRow="0" w:firstColumn="1" w:lastColumn="0" w:noHBand="0" w:noVBand="1"/>
        <w:tblDescription w:val="DSG Block Purpose of funding"/>
      </w:tblPr>
      <w:tblGrid>
        <w:gridCol w:w="4094"/>
        <w:gridCol w:w="5682"/>
      </w:tblGrid>
      <w:tr w:rsidR="00167716" w14:paraId="5EA8D31D" w14:textId="77777777" w:rsidTr="00B3393B">
        <w:trPr>
          <w:tblHeader/>
        </w:trPr>
        <w:tc>
          <w:tcPr>
            <w:tcW w:w="4094" w:type="dxa"/>
          </w:tcPr>
          <w:p w14:paraId="42B80BE1" w14:textId="07530032" w:rsidR="00167716" w:rsidRPr="00167716" w:rsidRDefault="00167716" w:rsidP="0072196D">
            <w:pPr>
              <w:pStyle w:val="NoSpacing"/>
              <w:rPr>
                <w:rFonts w:cs="Calibri"/>
                <w:b/>
                <w:bCs/>
                <w:sz w:val="24"/>
                <w:szCs w:val="24"/>
              </w:rPr>
            </w:pPr>
            <w:r w:rsidRPr="00167716">
              <w:rPr>
                <w:rFonts w:cs="Calibri"/>
                <w:b/>
                <w:bCs/>
                <w:sz w:val="24"/>
                <w:szCs w:val="24"/>
              </w:rPr>
              <w:t>DSG Block</w:t>
            </w:r>
          </w:p>
        </w:tc>
        <w:tc>
          <w:tcPr>
            <w:tcW w:w="5682" w:type="dxa"/>
          </w:tcPr>
          <w:p w14:paraId="29ACA0FD" w14:textId="7AB168A4" w:rsidR="00167716" w:rsidRPr="00167716" w:rsidRDefault="00167716" w:rsidP="0072196D">
            <w:pPr>
              <w:pStyle w:val="NoSpacing"/>
              <w:rPr>
                <w:rFonts w:cs="Calibri"/>
                <w:b/>
                <w:bCs/>
                <w:sz w:val="24"/>
                <w:szCs w:val="24"/>
              </w:rPr>
            </w:pPr>
            <w:r w:rsidRPr="00167716">
              <w:rPr>
                <w:rFonts w:cs="Calibri"/>
                <w:b/>
                <w:bCs/>
                <w:sz w:val="24"/>
                <w:szCs w:val="24"/>
              </w:rPr>
              <w:t>Purpose of funding</w:t>
            </w:r>
          </w:p>
        </w:tc>
      </w:tr>
      <w:tr w:rsidR="00167716" w14:paraId="7C7A2155" w14:textId="77777777" w:rsidTr="00B3393B">
        <w:tc>
          <w:tcPr>
            <w:tcW w:w="4094" w:type="dxa"/>
          </w:tcPr>
          <w:p w14:paraId="0DB7EB23" w14:textId="0ABF15AA" w:rsidR="00167716" w:rsidRDefault="00167716" w:rsidP="0072196D">
            <w:pPr>
              <w:pStyle w:val="NoSpacing"/>
              <w:rPr>
                <w:rFonts w:cs="Calibri"/>
                <w:sz w:val="24"/>
                <w:szCs w:val="24"/>
              </w:rPr>
            </w:pPr>
            <w:r>
              <w:rPr>
                <w:rFonts w:cs="Calibri"/>
                <w:sz w:val="24"/>
                <w:szCs w:val="24"/>
              </w:rPr>
              <w:t>Schools Block</w:t>
            </w:r>
          </w:p>
        </w:tc>
        <w:tc>
          <w:tcPr>
            <w:tcW w:w="5682" w:type="dxa"/>
          </w:tcPr>
          <w:p w14:paraId="63C44AE5" w14:textId="45D3D8D0" w:rsidR="00167716" w:rsidRDefault="00167716" w:rsidP="0072196D">
            <w:pPr>
              <w:pStyle w:val="NoSpacing"/>
              <w:rPr>
                <w:rFonts w:cs="Calibri"/>
                <w:sz w:val="24"/>
                <w:szCs w:val="24"/>
              </w:rPr>
            </w:pPr>
            <w:r>
              <w:rPr>
                <w:rFonts w:cs="Calibri"/>
                <w:sz w:val="24"/>
                <w:szCs w:val="24"/>
              </w:rPr>
              <w:t xml:space="preserve">To </w:t>
            </w:r>
            <w:r w:rsidR="00010ECA">
              <w:rPr>
                <w:rFonts w:cs="Calibri"/>
                <w:sz w:val="24"/>
                <w:szCs w:val="24"/>
              </w:rPr>
              <w:t>fund</w:t>
            </w:r>
            <w:r>
              <w:rPr>
                <w:rFonts w:cs="Calibri"/>
                <w:sz w:val="24"/>
                <w:szCs w:val="24"/>
              </w:rPr>
              <w:t xml:space="preserve"> primary and secondary mainstream schools</w:t>
            </w:r>
          </w:p>
        </w:tc>
      </w:tr>
      <w:tr w:rsidR="00167716" w14:paraId="3A2183A7" w14:textId="77777777" w:rsidTr="00B3393B">
        <w:tc>
          <w:tcPr>
            <w:tcW w:w="4094" w:type="dxa"/>
          </w:tcPr>
          <w:p w14:paraId="745DBA87" w14:textId="7FE5BFA1" w:rsidR="00167716" w:rsidRDefault="00167716" w:rsidP="0072196D">
            <w:pPr>
              <w:pStyle w:val="NoSpacing"/>
              <w:rPr>
                <w:rFonts w:cs="Calibri"/>
                <w:sz w:val="24"/>
                <w:szCs w:val="24"/>
              </w:rPr>
            </w:pPr>
            <w:r>
              <w:rPr>
                <w:rFonts w:cs="Calibri"/>
                <w:sz w:val="24"/>
                <w:szCs w:val="24"/>
              </w:rPr>
              <w:t>Central Schools Services Block (CSSB)</w:t>
            </w:r>
          </w:p>
        </w:tc>
        <w:tc>
          <w:tcPr>
            <w:tcW w:w="5682" w:type="dxa"/>
          </w:tcPr>
          <w:p w14:paraId="4AC9C899" w14:textId="0B07FF6E" w:rsidR="00167716" w:rsidRDefault="00167716" w:rsidP="0072196D">
            <w:pPr>
              <w:pStyle w:val="NoSpacing"/>
              <w:rPr>
                <w:rFonts w:cs="Calibri"/>
                <w:sz w:val="24"/>
                <w:szCs w:val="24"/>
              </w:rPr>
            </w:pPr>
            <w:r>
              <w:rPr>
                <w:rFonts w:cs="Calibri"/>
                <w:sz w:val="24"/>
                <w:szCs w:val="24"/>
              </w:rPr>
              <w:t>To fund LA functions supporting schools &amp; education</w:t>
            </w:r>
          </w:p>
        </w:tc>
      </w:tr>
      <w:tr w:rsidR="00167716" w14:paraId="78615F74" w14:textId="77777777" w:rsidTr="00B3393B">
        <w:tc>
          <w:tcPr>
            <w:tcW w:w="4094" w:type="dxa"/>
          </w:tcPr>
          <w:p w14:paraId="32C470FD" w14:textId="034F767E" w:rsidR="00167716" w:rsidRDefault="00167716" w:rsidP="0072196D">
            <w:pPr>
              <w:pStyle w:val="NoSpacing"/>
              <w:rPr>
                <w:rFonts w:cs="Calibri"/>
                <w:sz w:val="24"/>
                <w:szCs w:val="24"/>
              </w:rPr>
            </w:pPr>
            <w:r>
              <w:rPr>
                <w:rFonts w:cs="Calibri"/>
                <w:sz w:val="24"/>
                <w:szCs w:val="24"/>
              </w:rPr>
              <w:t>High Needs Block</w:t>
            </w:r>
          </w:p>
        </w:tc>
        <w:tc>
          <w:tcPr>
            <w:tcW w:w="5682" w:type="dxa"/>
          </w:tcPr>
          <w:p w14:paraId="352F7327" w14:textId="0044C468" w:rsidR="00167716" w:rsidRDefault="00167716" w:rsidP="0072196D">
            <w:pPr>
              <w:pStyle w:val="NoSpacing"/>
              <w:rPr>
                <w:rFonts w:cs="Calibri"/>
                <w:sz w:val="24"/>
                <w:szCs w:val="24"/>
              </w:rPr>
            </w:pPr>
            <w:r>
              <w:rPr>
                <w:rFonts w:cs="Calibri"/>
                <w:sz w:val="24"/>
                <w:szCs w:val="24"/>
              </w:rPr>
              <w:t>To fund special schools and resource bases</w:t>
            </w:r>
          </w:p>
        </w:tc>
      </w:tr>
      <w:tr w:rsidR="00167716" w14:paraId="46A0335E" w14:textId="77777777" w:rsidTr="00B3393B">
        <w:tc>
          <w:tcPr>
            <w:tcW w:w="4094" w:type="dxa"/>
          </w:tcPr>
          <w:p w14:paraId="4A97DF80" w14:textId="32FEB54D" w:rsidR="00167716" w:rsidRDefault="00167716" w:rsidP="0072196D">
            <w:pPr>
              <w:pStyle w:val="NoSpacing"/>
              <w:rPr>
                <w:rFonts w:cs="Calibri"/>
                <w:sz w:val="24"/>
                <w:szCs w:val="24"/>
              </w:rPr>
            </w:pPr>
            <w:r>
              <w:rPr>
                <w:rFonts w:cs="Calibri"/>
                <w:sz w:val="24"/>
                <w:szCs w:val="24"/>
              </w:rPr>
              <w:t>Early Years Block</w:t>
            </w:r>
          </w:p>
        </w:tc>
        <w:tc>
          <w:tcPr>
            <w:tcW w:w="5682" w:type="dxa"/>
          </w:tcPr>
          <w:p w14:paraId="3F65FCCE" w14:textId="0E00F25B" w:rsidR="00167716" w:rsidRDefault="00167716" w:rsidP="0072196D">
            <w:pPr>
              <w:pStyle w:val="NoSpacing"/>
              <w:rPr>
                <w:rFonts w:cs="Calibri"/>
                <w:sz w:val="24"/>
                <w:szCs w:val="24"/>
              </w:rPr>
            </w:pPr>
            <w:r>
              <w:rPr>
                <w:rFonts w:cs="Calibri"/>
                <w:sz w:val="24"/>
                <w:szCs w:val="24"/>
              </w:rPr>
              <w:t xml:space="preserve">To </w:t>
            </w:r>
            <w:r w:rsidR="00010ECA">
              <w:rPr>
                <w:rFonts w:cs="Calibri"/>
                <w:sz w:val="24"/>
                <w:szCs w:val="24"/>
              </w:rPr>
              <w:t>fund</w:t>
            </w:r>
            <w:r>
              <w:rPr>
                <w:rFonts w:cs="Calibri"/>
                <w:sz w:val="24"/>
                <w:szCs w:val="24"/>
              </w:rPr>
              <w:t xml:space="preserve"> nurseries</w:t>
            </w:r>
            <w:r w:rsidR="00010ECA">
              <w:rPr>
                <w:rFonts w:cs="Calibri"/>
                <w:sz w:val="24"/>
                <w:szCs w:val="24"/>
              </w:rPr>
              <w:t xml:space="preserve"> and early years providers</w:t>
            </w:r>
            <w:r>
              <w:rPr>
                <w:rFonts w:cs="Calibri"/>
                <w:sz w:val="24"/>
                <w:szCs w:val="24"/>
              </w:rPr>
              <w:t xml:space="preserve"> </w:t>
            </w:r>
          </w:p>
        </w:tc>
      </w:tr>
    </w:tbl>
    <w:p w14:paraId="093360AF" w14:textId="474F8837" w:rsidR="00167716" w:rsidRDefault="00167716" w:rsidP="0072196D">
      <w:pPr>
        <w:pStyle w:val="NoSpacing"/>
        <w:rPr>
          <w:rFonts w:cs="Calibri"/>
          <w:sz w:val="24"/>
          <w:szCs w:val="24"/>
        </w:rPr>
      </w:pPr>
    </w:p>
    <w:p w14:paraId="7730147D" w14:textId="5B0C9160" w:rsidR="00010ECA" w:rsidRDefault="00010ECA" w:rsidP="0072196D">
      <w:pPr>
        <w:pStyle w:val="NoSpacing"/>
        <w:rPr>
          <w:sz w:val="24"/>
          <w:szCs w:val="24"/>
        </w:rPr>
      </w:pPr>
      <w:r w:rsidRPr="00167716">
        <w:rPr>
          <w:sz w:val="24"/>
          <w:szCs w:val="24"/>
        </w:rPr>
        <w:t>The allocation of DSG funding is governed and managed in conjunction with the Schools’ Forum.</w:t>
      </w:r>
      <w:r>
        <w:rPr>
          <w:sz w:val="24"/>
          <w:szCs w:val="24"/>
        </w:rPr>
        <w:t xml:space="preserve">  </w:t>
      </w:r>
    </w:p>
    <w:p w14:paraId="0C31EC44" w14:textId="77777777" w:rsidR="00010ECA" w:rsidRDefault="00010ECA" w:rsidP="0072196D">
      <w:pPr>
        <w:pStyle w:val="NoSpacing"/>
        <w:rPr>
          <w:rFonts w:cs="Calibri"/>
          <w:sz w:val="24"/>
          <w:szCs w:val="24"/>
        </w:rPr>
      </w:pPr>
    </w:p>
    <w:p w14:paraId="01945D5E" w14:textId="77777777" w:rsidR="00010ECA" w:rsidRDefault="00010ECA" w:rsidP="0072196D">
      <w:pPr>
        <w:pStyle w:val="NoSpacing"/>
        <w:rPr>
          <w:rFonts w:cs="Calibri"/>
          <w:sz w:val="24"/>
          <w:szCs w:val="24"/>
        </w:rPr>
      </w:pPr>
    </w:p>
    <w:p w14:paraId="5F67D30E" w14:textId="3B608EC3" w:rsidR="00167716" w:rsidRPr="00167716" w:rsidRDefault="00167716" w:rsidP="0072196D">
      <w:pPr>
        <w:pStyle w:val="NoSpacing"/>
        <w:rPr>
          <w:rFonts w:cs="Calibri"/>
          <w:b/>
          <w:bCs/>
          <w:sz w:val="24"/>
          <w:szCs w:val="24"/>
        </w:rPr>
      </w:pPr>
      <w:r w:rsidRPr="00167716">
        <w:rPr>
          <w:rFonts w:cs="Calibri"/>
          <w:b/>
          <w:bCs/>
          <w:sz w:val="24"/>
          <w:szCs w:val="24"/>
        </w:rPr>
        <w:t>Dedicated Schools Grant Allocation 2023/24</w:t>
      </w:r>
    </w:p>
    <w:p w14:paraId="0D942EE9" w14:textId="025195E0" w:rsidR="007614A4" w:rsidRDefault="007614A4" w:rsidP="00167716">
      <w:pPr>
        <w:pStyle w:val="NoSpacing"/>
      </w:pPr>
    </w:p>
    <w:p w14:paraId="7565694C" w14:textId="77777777" w:rsidR="00010ECA" w:rsidRDefault="00167716" w:rsidP="00167716">
      <w:pPr>
        <w:pStyle w:val="NoSpacing"/>
        <w:rPr>
          <w:sz w:val="24"/>
          <w:szCs w:val="24"/>
        </w:rPr>
      </w:pPr>
      <w:r w:rsidRPr="00167716">
        <w:rPr>
          <w:sz w:val="24"/>
          <w:szCs w:val="24"/>
        </w:rPr>
        <w:t>The allocation of DSG announced by DfE 16 December 2022, is set at £1,457.6m for 2023/24.</w:t>
      </w:r>
    </w:p>
    <w:p w14:paraId="729993FF" w14:textId="77777777" w:rsidR="00010ECA" w:rsidRDefault="00010ECA" w:rsidP="00167716">
      <w:pPr>
        <w:pStyle w:val="NoSpacing"/>
        <w:rPr>
          <w:sz w:val="24"/>
          <w:szCs w:val="24"/>
        </w:rPr>
      </w:pPr>
    </w:p>
    <w:p w14:paraId="08CF8A49" w14:textId="77777777" w:rsidR="00010ECA" w:rsidRPr="00010ECA" w:rsidRDefault="00010ECA" w:rsidP="00010ECA">
      <w:pPr>
        <w:pStyle w:val="NoSpacing"/>
        <w:rPr>
          <w:sz w:val="24"/>
          <w:szCs w:val="24"/>
        </w:rPr>
      </w:pPr>
      <w:r w:rsidRPr="00010ECA">
        <w:rPr>
          <w:sz w:val="24"/>
          <w:szCs w:val="24"/>
        </w:rPr>
        <w:lastRenderedPageBreak/>
        <w:t xml:space="preserve">The ESFA currently recoups an amount from the DSG allocation to directly passport to academies and free schools and the Council is then responsible for the remaining budget. At the time of writing the recouped amount for schools had not been announced by DfE/ESFA, but for scale purposes £659.0m was recouped in 2022/23. </w:t>
      </w:r>
    </w:p>
    <w:p w14:paraId="7A4EFEA0" w14:textId="2550652A" w:rsidR="00167716" w:rsidRPr="00010ECA" w:rsidRDefault="00167716" w:rsidP="00167716">
      <w:pPr>
        <w:pStyle w:val="NoSpacing"/>
        <w:rPr>
          <w:sz w:val="24"/>
          <w:szCs w:val="24"/>
        </w:rPr>
      </w:pPr>
      <w:r w:rsidRPr="00167716">
        <w:rPr>
          <w:sz w:val="24"/>
          <w:szCs w:val="24"/>
        </w:rPr>
        <w:t xml:space="preserve"> </w:t>
      </w:r>
    </w:p>
    <w:p w14:paraId="438B451F" w14:textId="67B84AFA" w:rsidR="00167716" w:rsidRDefault="00167716" w:rsidP="00167716">
      <w:pPr>
        <w:pStyle w:val="NoSpacing"/>
        <w:rPr>
          <w:sz w:val="24"/>
          <w:szCs w:val="24"/>
        </w:rPr>
      </w:pPr>
      <w:r>
        <w:rPr>
          <w:sz w:val="24"/>
          <w:szCs w:val="24"/>
        </w:rPr>
        <w:t>A breakdown of the DSG allocation for 2023/24 and a comparison with the DSG allocation for 2022/23 is shown in the table below</w:t>
      </w:r>
      <w:r w:rsidR="00010ECA">
        <w:rPr>
          <w:sz w:val="24"/>
          <w:szCs w:val="24"/>
        </w:rPr>
        <w:t>.</w:t>
      </w:r>
    </w:p>
    <w:p w14:paraId="1B9566B3" w14:textId="77777777" w:rsidR="00010ECA" w:rsidRDefault="00010ECA" w:rsidP="00167716">
      <w:pPr>
        <w:pStyle w:val="NoSpacing"/>
        <w:rPr>
          <w:sz w:val="24"/>
          <w:szCs w:val="24"/>
        </w:rPr>
      </w:pPr>
    </w:p>
    <w:p w14:paraId="2123A44D" w14:textId="6F62F304" w:rsidR="00010ECA" w:rsidRDefault="00010ECA" w:rsidP="00167716">
      <w:pPr>
        <w:pStyle w:val="NoSpacing"/>
        <w:rPr>
          <w:sz w:val="24"/>
          <w:szCs w:val="24"/>
        </w:rPr>
      </w:pPr>
    </w:p>
    <w:p w14:paraId="49DC2B9F" w14:textId="2172078B" w:rsidR="00167716" w:rsidRDefault="00010ECA" w:rsidP="00010ECA">
      <w:pPr>
        <w:pStyle w:val="NoSpacing"/>
        <w:jc w:val="center"/>
        <w:rPr>
          <w:sz w:val="24"/>
          <w:szCs w:val="24"/>
        </w:rPr>
      </w:pPr>
      <w:r w:rsidRPr="00010ECA">
        <w:rPr>
          <w:b/>
          <w:bCs/>
          <w:sz w:val="24"/>
          <w:szCs w:val="24"/>
        </w:rPr>
        <w:t>Dedicated Schools Grant Funding (for all schools)</w:t>
      </w:r>
    </w:p>
    <w:p w14:paraId="09B89674" w14:textId="097092DF" w:rsidR="00167716" w:rsidRPr="00167716" w:rsidRDefault="00167716" w:rsidP="00010ECA">
      <w:pPr>
        <w:pStyle w:val="NoSpacing"/>
        <w:rPr>
          <w:sz w:val="24"/>
          <w:szCs w:val="24"/>
        </w:rPr>
      </w:pPr>
      <w:r>
        <w:rPr>
          <w:noProof/>
        </w:rPr>
        <w:drawing>
          <wp:inline distT="0" distB="0" distL="0" distR="0" wp14:anchorId="3EBF275D" wp14:editId="2681A9D8">
            <wp:extent cx="5555615" cy="2125980"/>
            <wp:effectExtent l="0" t="0" r="6985" b="7620"/>
            <wp:docPr id="1" name="Picture 1" descr="DSG Fund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SG Funding">
                      <a:extLst>
                        <a:ext uri="{C183D7F6-B498-43B3-948B-1728B52AA6E4}">
                          <adec:decorative xmlns:adec="http://schemas.microsoft.com/office/drawing/2017/decorative" val="0"/>
                        </a:ext>
                      </a:extLst>
                    </pic:cNvPr>
                    <pic:cNvPicPr/>
                  </pic:nvPicPr>
                  <pic:blipFill>
                    <a:blip r:embed="rId9"/>
                    <a:stretch>
                      <a:fillRect/>
                    </a:stretch>
                  </pic:blipFill>
                  <pic:spPr>
                    <a:xfrm>
                      <a:off x="0" y="0"/>
                      <a:ext cx="5567032" cy="2130349"/>
                    </a:xfrm>
                    <a:prstGeom prst="rect">
                      <a:avLst/>
                    </a:prstGeom>
                  </pic:spPr>
                </pic:pic>
              </a:graphicData>
            </a:graphic>
          </wp:inline>
        </w:drawing>
      </w:r>
    </w:p>
    <w:p w14:paraId="50E79FFC" w14:textId="2D195B99" w:rsidR="00167716" w:rsidRDefault="00167716" w:rsidP="00167716">
      <w:pPr>
        <w:pStyle w:val="NoSpacing"/>
        <w:rPr>
          <w:sz w:val="24"/>
          <w:szCs w:val="24"/>
        </w:rPr>
      </w:pPr>
    </w:p>
    <w:p w14:paraId="4856F19A" w14:textId="77777777" w:rsidR="00010ECA" w:rsidRPr="00AA7DD9" w:rsidRDefault="00010ECA" w:rsidP="00010ECA">
      <w:pPr>
        <w:pStyle w:val="FinPlanBullet"/>
        <w:numPr>
          <w:ilvl w:val="0"/>
          <w:numId w:val="0"/>
        </w:numPr>
        <w:rPr>
          <w:sz w:val="18"/>
          <w:szCs w:val="18"/>
        </w:rPr>
      </w:pPr>
      <w:r w:rsidRPr="00AA7DD9">
        <w:rPr>
          <w:sz w:val="18"/>
          <w:szCs w:val="18"/>
        </w:rPr>
        <w:t>*</w:t>
      </w:r>
      <w:r>
        <w:rPr>
          <w:sz w:val="18"/>
          <w:szCs w:val="18"/>
        </w:rPr>
        <w:t xml:space="preserve">* </w:t>
      </w:r>
      <w:r w:rsidRPr="00AA7DD9">
        <w:rPr>
          <w:sz w:val="18"/>
          <w:szCs w:val="18"/>
        </w:rPr>
        <w:t xml:space="preserve">Schools recoupment for 2023/24 will not be known until March 2023 so the latest </w:t>
      </w:r>
      <w:r>
        <w:rPr>
          <w:sz w:val="18"/>
          <w:szCs w:val="18"/>
        </w:rPr>
        <w:t xml:space="preserve">2022/23 </w:t>
      </w:r>
      <w:r w:rsidRPr="00AA7DD9">
        <w:rPr>
          <w:sz w:val="18"/>
          <w:szCs w:val="18"/>
        </w:rPr>
        <w:t>recoupment figure has been shown for illustrative purposes</w:t>
      </w:r>
    </w:p>
    <w:p w14:paraId="40DBB90D" w14:textId="77777777" w:rsidR="00010ECA" w:rsidRDefault="00010ECA" w:rsidP="00167716">
      <w:pPr>
        <w:pStyle w:val="NoSpacing"/>
        <w:rPr>
          <w:sz w:val="24"/>
          <w:szCs w:val="24"/>
        </w:rPr>
      </w:pPr>
    </w:p>
    <w:p w14:paraId="28BD941C" w14:textId="65FB546A" w:rsidR="00167716" w:rsidRDefault="00167716" w:rsidP="00167716">
      <w:pPr>
        <w:pStyle w:val="NoSpacing"/>
        <w:rPr>
          <w:bCs/>
          <w:iCs/>
          <w:sz w:val="24"/>
          <w:szCs w:val="24"/>
        </w:rPr>
      </w:pPr>
    </w:p>
    <w:p w14:paraId="07913C8E" w14:textId="77777777" w:rsidR="00010ECA" w:rsidRPr="00010ECA" w:rsidRDefault="00010ECA" w:rsidP="00010ECA">
      <w:pPr>
        <w:pStyle w:val="NoSpacing"/>
        <w:rPr>
          <w:b/>
          <w:bCs/>
          <w:sz w:val="24"/>
          <w:szCs w:val="24"/>
        </w:rPr>
      </w:pPr>
      <w:r w:rsidRPr="00010ECA">
        <w:rPr>
          <w:b/>
          <w:bCs/>
          <w:sz w:val="24"/>
          <w:szCs w:val="24"/>
        </w:rPr>
        <w:t>Additional DSG Grant Allocations 2023/24</w:t>
      </w:r>
    </w:p>
    <w:p w14:paraId="69CCC32A" w14:textId="77777777" w:rsidR="00010ECA" w:rsidRDefault="00010ECA" w:rsidP="00010ECA">
      <w:pPr>
        <w:pStyle w:val="NoSpacing"/>
      </w:pPr>
    </w:p>
    <w:p w14:paraId="6F680935" w14:textId="77777777" w:rsidR="00010ECA" w:rsidRPr="00167716" w:rsidRDefault="00010ECA" w:rsidP="00010ECA">
      <w:pPr>
        <w:pStyle w:val="NoSpacing"/>
        <w:rPr>
          <w:sz w:val="24"/>
          <w:szCs w:val="24"/>
        </w:rPr>
      </w:pPr>
      <w:r w:rsidRPr="00167716">
        <w:rPr>
          <w:sz w:val="24"/>
          <w:szCs w:val="24"/>
        </w:rPr>
        <w:t>Schools are expected to meet all the pay and inflationary pressures from within their budget allocations.</w:t>
      </w:r>
    </w:p>
    <w:p w14:paraId="05362620" w14:textId="77777777" w:rsidR="00010ECA" w:rsidRDefault="00010ECA" w:rsidP="00010ECA">
      <w:pPr>
        <w:pStyle w:val="NoSpacing"/>
        <w:rPr>
          <w:sz w:val="24"/>
          <w:szCs w:val="24"/>
        </w:rPr>
      </w:pPr>
    </w:p>
    <w:p w14:paraId="09615473" w14:textId="5B5D3179" w:rsidR="00010ECA" w:rsidRDefault="00010ECA" w:rsidP="00010ECA">
      <w:pPr>
        <w:pStyle w:val="NoSpacing"/>
        <w:rPr>
          <w:sz w:val="24"/>
          <w:szCs w:val="24"/>
        </w:rPr>
      </w:pPr>
      <w:proofErr w:type="gramStart"/>
      <w:r>
        <w:rPr>
          <w:sz w:val="24"/>
          <w:szCs w:val="24"/>
        </w:rPr>
        <w:t>However</w:t>
      </w:r>
      <w:proofErr w:type="gramEnd"/>
      <w:r>
        <w:rPr>
          <w:sz w:val="24"/>
          <w:szCs w:val="24"/>
        </w:rPr>
        <w:t xml:space="preserve"> </w:t>
      </w:r>
      <w:r w:rsidRPr="000C05CA">
        <w:rPr>
          <w:sz w:val="24"/>
          <w:szCs w:val="24"/>
        </w:rPr>
        <w:t>on 16</w:t>
      </w:r>
      <w:r w:rsidRPr="000C05CA">
        <w:rPr>
          <w:sz w:val="24"/>
          <w:szCs w:val="24"/>
          <w:vertAlign w:val="superscript"/>
        </w:rPr>
        <w:t>th</w:t>
      </w:r>
      <w:r w:rsidRPr="000C05CA">
        <w:rPr>
          <w:sz w:val="24"/>
          <w:szCs w:val="24"/>
        </w:rPr>
        <w:t xml:space="preserve"> December 2023, the ESFA </w:t>
      </w:r>
      <w:r>
        <w:rPr>
          <w:sz w:val="24"/>
          <w:szCs w:val="24"/>
        </w:rPr>
        <w:t xml:space="preserve">also </w:t>
      </w:r>
      <w:r w:rsidRPr="000C05CA">
        <w:rPr>
          <w:sz w:val="24"/>
          <w:szCs w:val="24"/>
        </w:rPr>
        <w:t>published the Mainstream Schools Additional Grant indicative allocations.  Birmingham City Council has provisionally been awarded £37.6m funding for schools for the 2023/24 financial year in addition to the main Schools Block DSG settlement for 2023/24 to further support schools with the costs of inflation and wider costs.  School level allocations will be confirmed in Spring 2023.</w:t>
      </w:r>
    </w:p>
    <w:p w14:paraId="213FD7A2" w14:textId="2940322D" w:rsidR="00AF08BC" w:rsidRDefault="00AF08BC" w:rsidP="00010ECA">
      <w:pPr>
        <w:pStyle w:val="NoSpacing"/>
        <w:rPr>
          <w:sz w:val="24"/>
          <w:szCs w:val="24"/>
        </w:rPr>
      </w:pPr>
    </w:p>
    <w:p w14:paraId="0EEF6D59" w14:textId="57940782" w:rsidR="00167716" w:rsidRDefault="00167716" w:rsidP="00167716">
      <w:pPr>
        <w:pStyle w:val="NoSpacing"/>
        <w:rPr>
          <w:sz w:val="24"/>
          <w:szCs w:val="24"/>
        </w:rPr>
      </w:pPr>
    </w:p>
    <w:p w14:paraId="097A362D" w14:textId="77777777" w:rsidR="005124FF" w:rsidRPr="005124FF" w:rsidRDefault="005124FF" w:rsidP="005124FF">
      <w:pPr>
        <w:pStyle w:val="NoSpacing"/>
        <w:rPr>
          <w:b/>
          <w:bCs/>
          <w:sz w:val="24"/>
          <w:szCs w:val="24"/>
        </w:rPr>
      </w:pPr>
      <w:r w:rsidRPr="005124FF">
        <w:rPr>
          <w:b/>
          <w:bCs/>
          <w:sz w:val="24"/>
          <w:szCs w:val="24"/>
        </w:rPr>
        <w:t>Schools Block</w:t>
      </w:r>
    </w:p>
    <w:p w14:paraId="307D0B41" w14:textId="77777777" w:rsidR="005124FF" w:rsidRPr="005124FF" w:rsidRDefault="005124FF" w:rsidP="005124FF">
      <w:pPr>
        <w:pStyle w:val="NoSpacing"/>
        <w:rPr>
          <w:sz w:val="24"/>
          <w:szCs w:val="24"/>
        </w:rPr>
      </w:pPr>
    </w:p>
    <w:p w14:paraId="48258B36" w14:textId="77777777" w:rsidR="005124FF" w:rsidRPr="005124FF" w:rsidRDefault="005124FF" w:rsidP="005124FF">
      <w:pPr>
        <w:pStyle w:val="NoSpacing"/>
        <w:rPr>
          <w:sz w:val="24"/>
          <w:szCs w:val="24"/>
        </w:rPr>
      </w:pPr>
      <w:r w:rsidRPr="005124FF">
        <w:rPr>
          <w:sz w:val="24"/>
          <w:szCs w:val="24"/>
        </w:rPr>
        <w:t xml:space="preserve">The basis of allocation to schools and other providers is underpinned by national funding regulations and is different for each of the blocks of the DSG, as is the timeline by which allocations must be made. </w:t>
      </w:r>
    </w:p>
    <w:p w14:paraId="635A8536" w14:textId="77777777" w:rsidR="005124FF" w:rsidRPr="005124FF" w:rsidRDefault="005124FF" w:rsidP="005124FF">
      <w:pPr>
        <w:pStyle w:val="NoSpacing"/>
        <w:rPr>
          <w:sz w:val="24"/>
          <w:szCs w:val="24"/>
        </w:rPr>
      </w:pPr>
    </w:p>
    <w:p w14:paraId="07B2B0F7" w14:textId="5D75104E" w:rsidR="005124FF" w:rsidRDefault="005124FF" w:rsidP="005124FF">
      <w:pPr>
        <w:pStyle w:val="NoSpacing"/>
        <w:rPr>
          <w:sz w:val="24"/>
          <w:szCs w:val="24"/>
        </w:rPr>
      </w:pPr>
      <w:r w:rsidRPr="005124FF">
        <w:rPr>
          <w:sz w:val="24"/>
          <w:szCs w:val="24"/>
        </w:rPr>
        <w:t xml:space="preserve">For the Schools Block Birmingham is required to submit a prescribed return (Authority Proforma Tool - APT) to the Education, </w:t>
      </w:r>
      <w:proofErr w:type="gramStart"/>
      <w:r w:rsidRPr="005124FF">
        <w:rPr>
          <w:sz w:val="24"/>
          <w:szCs w:val="24"/>
        </w:rPr>
        <w:t>S</w:t>
      </w:r>
      <w:r w:rsidR="00FC2E09">
        <w:rPr>
          <w:sz w:val="24"/>
          <w:szCs w:val="24"/>
        </w:rPr>
        <w:t>kills</w:t>
      </w:r>
      <w:proofErr w:type="gramEnd"/>
      <w:r w:rsidRPr="005124FF">
        <w:rPr>
          <w:sz w:val="24"/>
          <w:szCs w:val="24"/>
        </w:rPr>
        <w:t xml:space="preserve"> and Funding Agency (ESFA) setting out its proposed fair funding formula for delegating funding to primary and </w:t>
      </w:r>
      <w:r w:rsidRPr="005124FF">
        <w:rPr>
          <w:sz w:val="24"/>
          <w:szCs w:val="24"/>
        </w:rPr>
        <w:lastRenderedPageBreak/>
        <w:t xml:space="preserve">secondary schools covering Reception to Year 11. </w:t>
      </w:r>
      <w:r w:rsidR="004A37FA">
        <w:rPr>
          <w:sz w:val="24"/>
          <w:szCs w:val="24"/>
        </w:rPr>
        <w:t>A report on the</w:t>
      </w:r>
      <w:r w:rsidRPr="005124FF">
        <w:rPr>
          <w:sz w:val="24"/>
          <w:szCs w:val="24"/>
        </w:rPr>
        <w:t xml:space="preserve"> 2023/24 APT is to be </w:t>
      </w:r>
      <w:r>
        <w:rPr>
          <w:sz w:val="24"/>
          <w:szCs w:val="24"/>
        </w:rPr>
        <w:t xml:space="preserve">presented to Schools’ Forum </w:t>
      </w:r>
      <w:r w:rsidRPr="005124FF">
        <w:rPr>
          <w:sz w:val="24"/>
          <w:szCs w:val="24"/>
        </w:rPr>
        <w:t xml:space="preserve">on 19th January 2023. </w:t>
      </w:r>
      <w:r>
        <w:rPr>
          <w:sz w:val="24"/>
          <w:szCs w:val="24"/>
        </w:rPr>
        <w:t xml:space="preserve"> Schools’ Forum</w:t>
      </w:r>
      <w:r w:rsidRPr="005124FF">
        <w:rPr>
          <w:sz w:val="24"/>
          <w:szCs w:val="24"/>
        </w:rPr>
        <w:t xml:space="preserve"> ratification for is required</w:t>
      </w:r>
      <w:r>
        <w:rPr>
          <w:sz w:val="24"/>
          <w:szCs w:val="24"/>
        </w:rPr>
        <w:t xml:space="preserve"> at this meeting prior to being submitted the ESFA</w:t>
      </w:r>
      <w:r w:rsidRPr="005124FF">
        <w:rPr>
          <w:sz w:val="24"/>
          <w:szCs w:val="24"/>
        </w:rPr>
        <w:t>.  The ESFA then check</w:t>
      </w:r>
      <w:r>
        <w:rPr>
          <w:sz w:val="24"/>
          <w:szCs w:val="24"/>
        </w:rPr>
        <w:t>s</w:t>
      </w:r>
      <w:r w:rsidRPr="005124FF">
        <w:rPr>
          <w:sz w:val="24"/>
          <w:szCs w:val="24"/>
        </w:rPr>
        <w:t xml:space="preserve"> the proforma to ensure it is compliant with national regulations. </w:t>
      </w:r>
    </w:p>
    <w:p w14:paraId="225CC704" w14:textId="77777777" w:rsidR="005124FF" w:rsidRDefault="005124FF" w:rsidP="005124FF">
      <w:pPr>
        <w:pStyle w:val="NoSpacing"/>
        <w:rPr>
          <w:sz w:val="24"/>
          <w:szCs w:val="24"/>
        </w:rPr>
      </w:pPr>
    </w:p>
    <w:p w14:paraId="22B5465B" w14:textId="6D3B98AB" w:rsidR="005124FF" w:rsidRPr="005124FF" w:rsidRDefault="005124FF" w:rsidP="005124FF">
      <w:pPr>
        <w:pStyle w:val="NoSpacing"/>
        <w:rPr>
          <w:sz w:val="24"/>
          <w:szCs w:val="24"/>
        </w:rPr>
      </w:pPr>
      <w:r w:rsidRPr="005124FF">
        <w:rPr>
          <w:sz w:val="24"/>
          <w:szCs w:val="24"/>
        </w:rPr>
        <w:t xml:space="preserve">Following ESFA approval the Council will need to issue budgets to its maintained primary and secondary schools by the national deadline of 28th February 2023. The ESFA will also use the proforma to calculate the Academy budgets.  </w:t>
      </w:r>
    </w:p>
    <w:p w14:paraId="1F58CD74" w14:textId="77777777" w:rsidR="005124FF" w:rsidRPr="005124FF" w:rsidRDefault="005124FF" w:rsidP="005124FF">
      <w:pPr>
        <w:pStyle w:val="NoSpacing"/>
        <w:rPr>
          <w:sz w:val="24"/>
          <w:szCs w:val="24"/>
        </w:rPr>
      </w:pPr>
    </w:p>
    <w:p w14:paraId="2CCE9E0E" w14:textId="77777777" w:rsidR="005124FF" w:rsidRPr="005124FF" w:rsidRDefault="005124FF" w:rsidP="005124FF">
      <w:pPr>
        <w:pStyle w:val="NoSpacing"/>
        <w:rPr>
          <w:sz w:val="24"/>
          <w:szCs w:val="24"/>
        </w:rPr>
      </w:pPr>
      <w:r w:rsidRPr="005124FF">
        <w:rPr>
          <w:sz w:val="24"/>
          <w:szCs w:val="24"/>
        </w:rPr>
        <w:t>The proposed funding factors meet all statutory requirements. In addition, the DfE requires Local Authorities to set a Minimum Funding Guarantee between 0.0% and 0.5%, as this forms part of the funding formula. The minimum funding guarantee (MFG) is intended to provide schools with stability of funding: the MFG does this by guaranteeing all schools a minimum percentage increase in their funding per pupil from one year to the next. MFG excludes business rates and lump sums. Schools’ Forum will be asked to agree to set a minimum funding guarantee of 0.5% (that also becomes a maximum funding guarantee), and increase:</w:t>
      </w:r>
    </w:p>
    <w:p w14:paraId="0D923A6F" w14:textId="77777777" w:rsidR="005124FF" w:rsidRPr="005124FF" w:rsidRDefault="005124FF" w:rsidP="005124FF">
      <w:pPr>
        <w:pStyle w:val="NoSpacing"/>
        <w:rPr>
          <w:sz w:val="24"/>
          <w:szCs w:val="24"/>
        </w:rPr>
      </w:pPr>
    </w:p>
    <w:p w14:paraId="3DD86268" w14:textId="77777777" w:rsidR="005124FF" w:rsidRPr="005124FF" w:rsidRDefault="005124FF" w:rsidP="00AF08BC">
      <w:pPr>
        <w:pStyle w:val="NoSpacing"/>
        <w:numPr>
          <w:ilvl w:val="0"/>
          <w:numId w:val="4"/>
        </w:numPr>
        <w:rPr>
          <w:sz w:val="24"/>
          <w:szCs w:val="24"/>
        </w:rPr>
      </w:pPr>
      <w:r w:rsidRPr="005124FF">
        <w:rPr>
          <w:sz w:val="24"/>
          <w:szCs w:val="24"/>
        </w:rPr>
        <w:t>De Delegation: increase by 1.9% in line with the general NFF factor increase rate</w:t>
      </w:r>
    </w:p>
    <w:p w14:paraId="3143FE75" w14:textId="77777777" w:rsidR="005124FF" w:rsidRPr="005124FF" w:rsidRDefault="005124FF" w:rsidP="00AF08BC">
      <w:pPr>
        <w:pStyle w:val="NoSpacing"/>
        <w:numPr>
          <w:ilvl w:val="0"/>
          <w:numId w:val="4"/>
        </w:numPr>
        <w:rPr>
          <w:sz w:val="24"/>
          <w:szCs w:val="24"/>
        </w:rPr>
      </w:pPr>
      <w:r w:rsidRPr="005124FF">
        <w:rPr>
          <w:sz w:val="24"/>
          <w:szCs w:val="24"/>
        </w:rPr>
        <w:t>Split sites: increase by 1.9% in line with general NFF factor increase rate</w:t>
      </w:r>
    </w:p>
    <w:p w14:paraId="18859DB5" w14:textId="0248ADA7" w:rsidR="005124FF" w:rsidRDefault="005124FF" w:rsidP="00AF08BC">
      <w:pPr>
        <w:pStyle w:val="NoSpacing"/>
        <w:numPr>
          <w:ilvl w:val="0"/>
          <w:numId w:val="4"/>
        </w:numPr>
        <w:rPr>
          <w:sz w:val="24"/>
          <w:szCs w:val="24"/>
        </w:rPr>
      </w:pPr>
      <w:r w:rsidRPr="005124FF">
        <w:rPr>
          <w:sz w:val="24"/>
          <w:szCs w:val="24"/>
        </w:rPr>
        <w:t>PFI top ups for PPP1 schools: increase by 13.5% in line with O</w:t>
      </w:r>
      <w:r w:rsidR="00FC2E09">
        <w:rPr>
          <w:sz w:val="24"/>
          <w:szCs w:val="24"/>
        </w:rPr>
        <w:t>ffice for National Statistics (O</w:t>
      </w:r>
      <w:r w:rsidRPr="005124FF">
        <w:rPr>
          <w:sz w:val="24"/>
          <w:szCs w:val="24"/>
        </w:rPr>
        <w:t>NS) published RPI(</w:t>
      </w:r>
      <w:r w:rsidR="00FC2E09">
        <w:rPr>
          <w:sz w:val="24"/>
          <w:szCs w:val="24"/>
        </w:rPr>
        <w:t>x</w:t>
      </w:r>
      <w:r w:rsidRPr="005124FF">
        <w:rPr>
          <w:sz w:val="24"/>
          <w:szCs w:val="24"/>
        </w:rPr>
        <w:t xml:space="preserve">) rate </w:t>
      </w:r>
      <w:r w:rsidR="0029251D">
        <w:rPr>
          <w:sz w:val="24"/>
          <w:szCs w:val="24"/>
        </w:rPr>
        <w:t xml:space="preserve">as </w:t>
      </w:r>
      <w:proofErr w:type="gramStart"/>
      <w:r w:rsidRPr="005124FF">
        <w:rPr>
          <w:sz w:val="24"/>
          <w:szCs w:val="24"/>
        </w:rPr>
        <w:t>at</w:t>
      </w:r>
      <w:proofErr w:type="gramEnd"/>
      <w:r w:rsidRPr="005124FF">
        <w:rPr>
          <w:sz w:val="24"/>
          <w:szCs w:val="24"/>
        </w:rPr>
        <w:t xml:space="preserve"> November 2022</w:t>
      </w:r>
      <w:r w:rsidR="0029251D">
        <w:rPr>
          <w:sz w:val="24"/>
          <w:szCs w:val="24"/>
        </w:rPr>
        <w:t>.</w:t>
      </w:r>
    </w:p>
    <w:p w14:paraId="5FD3204C" w14:textId="418AEE62" w:rsidR="005124FF" w:rsidRDefault="005124FF" w:rsidP="005124FF">
      <w:pPr>
        <w:pStyle w:val="NoSpacing"/>
        <w:rPr>
          <w:sz w:val="24"/>
          <w:szCs w:val="24"/>
        </w:rPr>
      </w:pPr>
    </w:p>
    <w:p w14:paraId="09E7F93A" w14:textId="706746CE" w:rsidR="005124FF" w:rsidRPr="00AF08BC" w:rsidRDefault="005124FF" w:rsidP="005124FF">
      <w:pPr>
        <w:pStyle w:val="NoSpacing"/>
        <w:rPr>
          <w:b/>
          <w:bCs/>
          <w:sz w:val="24"/>
          <w:szCs w:val="24"/>
        </w:rPr>
      </w:pPr>
    </w:p>
    <w:p w14:paraId="370A4850" w14:textId="77777777" w:rsidR="005124FF" w:rsidRPr="00AF08BC" w:rsidRDefault="005124FF" w:rsidP="005124FF">
      <w:pPr>
        <w:pStyle w:val="FinPlanLvl1Para"/>
        <w:numPr>
          <w:ilvl w:val="0"/>
          <w:numId w:val="0"/>
        </w:numPr>
        <w:ind w:left="360" w:hanging="360"/>
        <w:rPr>
          <w:rFonts w:ascii="Calibri" w:hAnsi="Calibri"/>
          <w:bCs/>
        </w:rPr>
      </w:pPr>
      <w:r w:rsidRPr="00AF08BC">
        <w:rPr>
          <w:rFonts w:ascii="Calibri" w:hAnsi="Calibri"/>
          <w:bCs/>
        </w:rPr>
        <w:t>Central Schools Services Block</w:t>
      </w:r>
    </w:p>
    <w:p w14:paraId="2084E9D9" w14:textId="77777777" w:rsidR="005124FF" w:rsidRPr="00AF08BC" w:rsidRDefault="005124FF" w:rsidP="005124FF">
      <w:pPr>
        <w:pStyle w:val="FinPlanBlankLine"/>
        <w:rPr>
          <w:rFonts w:ascii="Calibri" w:hAnsi="Calibri"/>
          <w:bCs w:val="0"/>
          <w:iCs w:val="0"/>
          <w:szCs w:val="24"/>
        </w:rPr>
      </w:pPr>
    </w:p>
    <w:p w14:paraId="260BF9EF" w14:textId="2DC0864C" w:rsidR="005124FF" w:rsidRPr="00AF08BC" w:rsidRDefault="005124FF" w:rsidP="005124FF">
      <w:pPr>
        <w:pStyle w:val="FinPlanLvl2Para"/>
        <w:numPr>
          <w:ilvl w:val="0"/>
          <w:numId w:val="0"/>
        </w:numPr>
        <w:rPr>
          <w:rFonts w:ascii="Calibri" w:hAnsi="Calibri"/>
        </w:rPr>
      </w:pPr>
      <w:r w:rsidRPr="00AF08BC">
        <w:rPr>
          <w:rFonts w:ascii="Calibri" w:hAnsi="Calibri"/>
        </w:rPr>
        <w:t>The Central School Services block (CSSB) was established by the DFE in 2018/19 and created with the aim of funding L</w:t>
      </w:r>
      <w:r w:rsidR="00FC2E09">
        <w:rPr>
          <w:rFonts w:ascii="Calibri" w:hAnsi="Calibri"/>
        </w:rPr>
        <w:t xml:space="preserve">ocal Authorities </w:t>
      </w:r>
      <w:r w:rsidRPr="00AF08BC">
        <w:rPr>
          <w:rFonts w:ascii="Calibri" w:hAnsi="Calibri"/>
        </w:rPr>
        <w:t xml:space="preserve">for </w:t>
      </w:r>
      <w:r w:rsidR="00FC2E09">
        <w:rPr>
          <w:rFonts w:ascii="Calibri" w:hAnsi="Calibri"/>
        </w:rPr>
        <w:t xml:space="preserve">the </w:t>
      </w:r>
      <w:r w:rsidRPr="00AF08BC">
        <w:rPr>
          <w:rFonts w:ascii="Calibri" w:hAnsi="Calibri"/>
        </w:rPr>
        <w:t>statutory duties they hold for both maintained schools and academies. It brings together:</w:t>
      </w:r>
    </w:p>
    <w:p w14:paraId="347FFFF8" w14:textId="77777777" w:rsidR="005124FF" w:rsidRPr="00AF08BC" w:rsidRDefault="005124FF" w:rsidP="005124FF">
      <w:pPr>
        <w:pStyle w:val="FinPlanLvl2Para"/>
        <w:numPr>
          <w:ilvl w:val="0"/>
          <w:numId w:val="0"/>
        </w:numPr>
        <w:ind w:hanging="567"/>
        <w:rPr>
          <w:rFonts w:ascii="Calibri" w:hAnsi="Calibri"/>
        </w:rPr>
      </w:pPr>
    </w:p>
    <w:p w14:paraId="2D8BA523" w14:textId="77777777" w:rsidR="005124FF" w:rsidRPr="00FC2E09" w:rsidRDefault="005124FF" w:rsidP="00FC2E09">
      <w:pPr>
        <w:pStyle w:val="FinPlanLvl2Para"/>
        <w:numPr>
          <w:ilvl w:val="0"/>
          <w:numId w:val="9"/>
        </w:numPr>
        <w:rPr>
          <w:rFonts w:ascii="Calibri" w:hAnsi="Calibri"/>
        </w:rPr>
      </w:pPr>
      <w:r w:rsidRPr="00FC2E09">
        <w:rPr>
          <w:rFonts w:ascii="Calibri" w:hAnsi="Calibri"/>
        </w:rPr>
        <w:t>Funding for ongoing responsibilities, such as admissions</w:t>
      </w:r>
    </w:p>
    <w:p w14:paraId="614AF399" w14:textId="0B36C443" w:rsidR="005124FF" w:rsidRPr="00FC2E09" w:rsidRDefault="005124FF" w:rsidP="00FC2E09">
      <w:pPr>
        <w:pStyle w:val="FinPlanLvl2Para"/>
        <w:numPr>
          <w:ilvl w:val="0"/>
          <w:numId w:val="9"/>
        </w:numPr>
        <w:rPr>
          <w:rFonts w:ascii="Calibri" w:hAnsi="Calibri"/>
        </w:rPr>
      </w:pPr>
      <w:r w:rsidRPr="00FC2E09">
        <w:rPr>
          <w:rFonts w:ascii="Calibri" w:hAnsi="Calibri"/>
        </w:rPr>
        <w:t xml:space="preserve">Funding previously allocated through the retained duties element of the </w:t>
      </w:r>
      <w:r w:rsidR="00FC2E09">
        <w:rPr>
          <w:rFonts w:ascii="Calibri" w:hAnsi="Calibri"/>
        </w:rPr>
        <w:t>E</w:t>
      </w:r>
      <w:r w:rsidRPr="00FC2E09">
        <w:rPr>
          <w:rFonts w:ascii="Calibri" w:hAnsi="Calibri"/>
        </w:rPr>
        <w:t xml:space="preserve">ducation </w:t>
      </w:r>
      <w:r w:rsidR="00FC2E09">
        <w:rPr>
          <w:rFonts w:ascii="Calibri" w:hAnsi="Calibri"/>
        </w:rPr>
        <w:t>S</w:t>
      </w:r>
      <w:r w:rsidRPr="00FC2E09">
        <w:rPr>
          <w:rFonts w:ascii="Calibri" w:hAnsi="Calibri"/>
        </w:rPr>
        <w:t xml:space="preserve">ervices </w:t>
      </w:r>
      <w:r w:rsidR="00FC2E09">
        <w:rPr>
          <w:rFonts w:ascii="Calibri" w:hAnsi="Calibri"/>
        </w:rPr>
        <w:t>G</w:t>
      </w:r>
      <w:r w:rsidRPr="00FC2E09">
        <w:rPr>
          <w:rFonts w:ascii="Calibri" w:hAnsi="Calibri"/>
        </w:rPr>
        <w:t>rant (ESG)</w:t>
      </w:r>
    </w:p>
    <w:p w14:paraId="13702427" w14:textId="77777777" w:rsidR="005124FF" w:rsidRPr="00FC2E09" w:rsidRDefault="005124FF" w:rsidP="00FC2E09">
      <w:pPr>
        <w:pStyle w:val="FinPlanLvl2Para"/>
        <w:numPr>
          <w:ilvl w:val="0"/>
          <w:numId w:val="9"/>
        </w:numPr>
        <w:rPr>
          <w:rFonts w:ascii="Calibri" w:hAnsi="Calibri"/>
        </w:rPr>
      </w:pPr>
      <w:r w:rsidRPr="00FC2E09">
        <w:rPr>
          <w:rFonts w:ascii="Calibri" w:hAnsi="Calibri"/>
        </w:rPr>
        <w:t xml:space="preserve">Residual agreed funding for historic commitments </w:t>
      </w:r>
    </w:p>
    <w:p w14:paraId="5027B167" w14:textId="77777777" w:rsidR="005124FF" w:rsidRPr="00FC2E09" w:rsidRDefault="005124FF" w:rsidP="00FC2E09">
      <w:pPr>
        <w:pStyle w:val="FinPlanLvl2Para"/>
        <w:numPr>
          <w:ilvl w:val="0"/>
          <w:numId w:val="0"/>
        </w:numPr>
        <w:rPr>
          <w:rFonts w:ascii="Calibri" w:hAnsi="Calibri"/>
        </w:rPr>
      </w:pPr>
    </w:p>
    <w:p w14:paraId="1DCD8FF7" w14:textId="77777777" w:rsidR="005124FF" w:rsidRPr="00AF08BC" w:rsidRDefault="005124FF" w:rsidP="005124FF">
      <w:pPr>
        <w:pStyle w:val="FinPlanLvl2Para"/>
        <w:numPr>
          <w:ilvl w:val="0"/>
          <w:numId w:val="0"/>
        </w:numPr>
        <w:rPr>
          <w:rFonts w:ascii="Calibri" w:hAnsi="Calibri"/>
        </w:rPr>
      </w:pPr>
      <w:r w:rsidRPr="00AF08BC">
        <w:rPr>
          <w:rFonts w:ascii="Calibri" w:hAnsi="Calibri"/>
        </w:rPr>
        <w:t>The indicative 2023/24 allocation for the CSSB is estimated to be £8.245m – a reduction of £0.057m from the figure for 2022/23.  The DfE has begun reducing the element of funding within the CSSB that some LA’s receive for historic commitments made prior to 2013/14. This will reduce by 20% each year.  DfE does not believe it is fair to maintain significant differences in funding indefinitely between local authorities which reflect historic decisions.</w:t>
      </w:r>
    </w:p>
    <w:p w14:paraId="7218BE82" w14:textId="77777777" w:rsidR="005124FF" w:rsidRPr="00AF08BC" w:rsidRDefault="005124FF" w:rsidP="005124FF">
      <w:pPr>
        <w:pStyle w:val="FinPlanLvl2Para"/>
        <w:numPr>
          <w:ilvl w:val="0"/>
          <w:numId w:val="0"/>
        </w:numPr>
        <w:ind w:left="1418" w:hanging="567"/>
        <w:rPr>
          <w:rFonts w:ascii="Calibri" w:hAnsi="Calibri"/>
        </w:rPr>
      </w:pPr>
    </w:p>
    <w:p w14:paraId="3A5181E1" w14:textId="77777777" w:rsidR="005124FF" w:rsidRPr="00AF08BC" w:rsidRDefault="005124FF" w:rsidP="005124FF">
      <w:pPr>
        <w:pStyle w:val="FinPlanLvl2Para"/>
        <w:numPr>
          <w:ilvl w:val="0"/>
          <w:numId w:val="0"/>
        </w:numPr>
        <w:rPr>
          <w:rFonts w:ascii="Calibri" w:hAnsi="Calibri"/>
        </w:rPr>
      </w:pPr>
      <w:r w:rsidRPr="00AF08BC">
        <w:rPr>
          <w:rFonts w:ascii="Calibri" w:hAnsi="Calibri"/>
        </w:rPr>
        <w:t>This overall change disguises two important factors, regarding DfE’s overall calculation:</w:t>
      </w:r>
    </w:p>
    <w:p w14:paraId="63F069EE" w14:textId="77777777" w:rsidR="005124FF" w:rsidRPr="00AF08BC" w:rsidRDefault="005124FF" w:rsidP="005124FF">
      <w:pPr>
        <w:pStyle w:val="FinPlanLvl2Para"/>
        <w:numPr>
          <w:ilvl w:val="0"/>
          <w:numId w:val="0"/>
        </w:numPr>
        <w:ind w:left="1418" w:hanging="567"/>
        <w:rPr>
          <w:rFonts w:ascii="Calibri" w:hAnsi="Calibri"/>
        </w:rPr>
      </w:pPr>
    </w:p>
    <w:p w14:paraId="4B372728" w14:textId="77777777" w:rsidR="005124FF" w:rsidRPr="00AF08BC" w:rsidRDefault="005124FF" w:rsidP="00AF08BC">
      <w:pPr>
        <w:pStyle w:val="FinPlanLvl2Para"/>
        <w:numPr>
          <w:ilvl w:val="0"/>
          <w:numId w:val="5"/>
        </w:numPr>
        <w:rPr>
          <w:rFonts w:ascii="Calibri" w:hAnsi="Calibri"/>
        </w:rPr>
      </w:pPr>
      <w:r w:rsidRPr="00AF08BC">
        <w:rPr>
          <w:rFonts w:ascii="Calibri" w:hAnsi="Calibri"/>
        </w:rPr>
        <w:t xml:space="preserve">for 2023/24 Birmingham Council has lost 20% of its funding for historical commitments </w:t>
      </w:r>
    </w:p>
    <w:p w14:paraId="20113F6A" w14:textId="5616E3F1" w:rsidR="00773ACB" w:rsidRDefault="005124FF" w:rsidP="00132699">
      <w:pPr>
        <w:pStyle w:val="FinPlanLvl2Para"/>
        <w:numPr>
          <w:ilvl w:val="0"/>
          <w:numId w:val="5"/>
        </w:numPr>
        <w:rPr>
          <w:rFonts w:ascii="Calibri" w:hAnsi="Calibri"/>
        </w:rPr>
      </w:pPr>
      <w:r w:rsidRPr="00AF08BC">
        <w:rPr>
          <w:rFonts w:ascii="Calibri" w:hAnsi="Calibri"/>
        </w:rPr>
        <w:lastRenderedPageBreak/>
        <w:t>for 2023/24 Birmingham Council has gained 4.5% for its other responsibilities.</w:t>
      </w:r>
    </w:p>
    <w:p w14:paraId="1D6C097E" w14:textId="77777777" w:rsidR="00132699" w:rsidRPr="00132699" w:rsidRDefault="00132699" w:rsidP="00132699">
      <w:pPr>
        <w:pStyle w:val="FinPlanLvl2Para"/>
        <w:numPr>
          <w:ilvl w:val="0"/>
          <w:numId w:val="5"/>
        </w:numPr>
        <w:rPr>
          <w:rFonts w:ascii="Calibri" w:hAnsi="Calibri"/>
        </w:rPr>
      </w:pPr>
    </w:p>
    <w:p w14:paraId="49B40056" w14:textId="693241AF" w:rsidR="00AF08BC" w:rsidRPr="00AF08BC" w:rsidRDefault="00AF08BC" w:rsidP="00AF08BC">
      <w:pPr>
        <w:pStyle w:val="FinPlanLvl2Para"/>
        <w:numPr>
          <w:ilvl w:val="0"/>
          <w:numId w:val="0"/>
        </w:numPr>
        <w:rPr>
          <w:rFonts w:ascii="Calibri" w:hAnsi="Calibri"/>
          <w:b/>
          <w:bCs/>
        </w:rPr>
      </w:pPr>
      <w:r w:rsidRPr="00AF08BC">
        <w:rPr>
          <w:rFonts w:ascii="Calibri" w:hAnsi="Calibri"/>
          <w:b/>
          <w:bCs/>
        </w:rPr>
        <w:t>High Needs Block</w:t>
      </w:r>
    </w:p>
    <w:p w14:paraId="480ECC5C" w14:textId="7AC2D3F0" w:rsidR="00AF08BC" w:rsidRPr="00AF08BC" w:rsidRDefault="00AF08BC" w:rsidP="00AF08BC">
      <w:pPr>
        <w:pStyle w:val="FinPlanLvl2Para"/>
        <w:numPr>
          <w:ilvl w:val="0"/>
          <w:numId w:val="0"/>
        </w:numPr>
        <w:rPr>
          <w:rFonts w:ascii="Calibri" w:hAnsi="Calibri"/>
        </w:rPr>
      </w:pPr>
    </w:p>
    <w:p w14:paraId="363DD25D" w14:textId="77777777" w:rsidR="00AF08BC" w:rsidRPr="00AF08BC" w:rsidRDefault="00AF08BC" w:rsidP="00AF08BC">
      <w:pPr>
        <w:pStyle w:val="FinPlanLvl2Para"/>
        <w:numPr>
          <w:ilvl w:val="0"/>
          <w:numId w:val="0"/>
        </w:numPr>
        <w:rPr>
          <w:rFonts w:ascii="Calibri" w:hAnsi="Calibri"/>
        </w:rPr>
      </w:pPr>
      <w:r w:rsidRPr="00AF08BC">
        <w:rPr>
          <w:rFonts w:ascii="Calibri" w:hAnsi="Calibri"/>
        </w:rPr>
        <w:t xml:space="preserve">The increasing level of spend on High Needs and SEND is a national issue, which is also reflected in Birmingham.  </w:t>
      </w:r>
    </w:p>
    <w:p w14:paraId="528C7DDD" w14:textId="77777777" w:rsidR="00AF08BC" w:rsidRPr="00AF08BC" w:rsidRDefault="00AF08BC" w:rsidP="00AF08BC">
      <w:pPr>
        <w:pStyle w:val="FinPlanLvl2Para"/>
        <w:numPr>
          <w:ilvl w:val="0"/>
          <w:numId w:val="0"/>
        </w:numPr>
        <w:rPr>
          <w:rFonts w:ascii="Calibri" w:hAnsi="Calibri"/>
        </w:rPr>
      </w:pPr>
    </w:p>
    <w:p w14:paraId="17CD2A14" w14:textId="77777777" w:rsidR="00AF08BC" w:rsidRPr="00AF08BC" w:rsidRDefault="00AF08BC" w:rsidP="00AF08BC">
      <w:pPr>
        <w:pStyle w:val="FinPlanLvl2Para"/>
        <w:numPr>
          <w:ilvl w:val="0"/>
          <w:numId w:val="0"/>
        </w:numPr>
        <w:rPr>
          <w:rFonts w:ascii="Calibri" w:hAnsi="Calibri"/>
        </w:rPr>
      </w:pPr>
      <w:r w:rsidRPr="00AF08BC">
        <w:rPr>
          <w:rFonts w:ascii="Calibri" w:hAnsi="Calibri"/>
        </w:rPr>
        <w:t xml:space="preserve">At the end of 2021/22 the cumulative High Needs deficit was £4.1m with the final repayment to clear planned to be made during 2022/23.  </w:t>
      </w:r>
    </w:p>
    <w:p w14:paraId="42EAE87D" w14:textId="77777777" w:rsidR="00AF08BC" w:rsidRPr="00AF08BC" w:rsidRDefault="00AF08BC" w:rsidP="00AF08BC">
      <w:pPr>
        <w:pStyle w:val="FinPlanLvl2Para"/>
        <w:numPr>
          <w:ilvl w:val="0"/>
          <w:numId w:val="0"/>
        </w:numPr>
        <w:rPr>
          <w:rFonts w:ascii="Calibri" w:hAnsi="Calibri"/>
        </w:rPr>
      </w:pPr>
    </w:p>
    <w:p w14:paraId="0DBFF188" w14:textId="77777777" w:rsidR="00AF08BC" w:rsidRPr="00AF08BC" w:rsidRDefault="00AF08BC" w:rsidP="00AF08BC">
      <w:pPr>
        <w:pStyle w:val="FinPlanLvl2Para"/>
        <w:numPr>
          <w:ilvl w:val="0"/>
          <w:numId w:val="0"/>
        </w:numPr>
        <w:rPr>
          <w:rFonts w:ascii="Calibri" w:hAnsi="Calibri"/>
        </w:rPr>
      </w:pPr>
      <w:r w:rsidRPr="00AF08BC">
        <w:rPr>
          <w:rFonts w:ascii="Calibri" w:hAnsi="Calibri"/>
        </w:rPr>
        <w:t xml:space="preserve">The Government has announced substantial increases in High Needs for which Birmingham will receive £237.6m after direct academy recoupment and import/export adjustments in 2023/24, a total increase of £27.4m on the amount received in 2022/23. </w:t>
      </w:r>
    </w:p>
    <w:p w14:paraId="2DFA5637" w14:textId="77777777" w:rsidR="00AF08BC" w:rsidRPr="00AF08BC" w:rsidRDefault="00AF08BC" w:rsidP="00AF08BC">
      <w:pPr>
        <w:pStyle w:val="FinPlanLvl2Para"/>
        <w:numPr>
          <w:ilvl w:val="0"/>
          <w:numId w:val="0"/>
        </w:numPr>
        <w:rPr>
          <w:rFonts w:ascii="Calibri" w:hAnsi="Calibri"/>
        </w:rPr>
      </w:pPr>
    </w:p>
    <w:p w14:paraId="14FE4D74" w14:textId="368716CA" w:rsidR="00AF08BC" w:rsidRPr="00AF08BC" w:rsidRDefault="00AF08BC" w:rsidP="00AF08BC">
      <w:pPr>
        <w:pStyle w:val="FinPlanLvl2Para"/>
        <w:numPr>
          <w:ilvl w:val="0"/>
          <w:numId w:val="0"/>
        </w:numPr>
        <w:rPr>
          <w:rFonts w:ascii="Calibri" w:hAnsi="Calibri"/>
        </w:rPr>
      </w:pPr>
      <w:r w:rsidRPr="00AF08BC">
        <w:rPr>
          <w:rFonts w:ascii="Calibri" w:hAnsi="Calibri"/>
        </w:rPr>
        <w:t>This includes an additional allocation of £10.8m funding for the schools’ budget announced at the Autumn Statement 2022.</w:t>
      </w:r>
    </w:p>
    <w:p w14:paraId="624AB7DE" w14:textId="77777777" w:rsidR="00AF08BC" w:rsidRPr="00AF08BC" w:rsidRDefault="00AF08BC" w:rsidP="00AF08BC">
      <w:pPr>
        <w:pStyle w:val="FinPlanLvl2Para"/>
        <w:numPr>
          <w:ilvl w:val="0"/>
          <w:numId w:val="0"/>
        </w:numPr>
        <w:rPr>
          <w:rFonts w:ascii="Calibri" w:hAnsi="Calibri"/>
        </w:rPr>
      </w:pPr>
    </w:p>
    <w:p w14:paraId="1B0C858E" w14:textId="5EF66B4D" w:rsidR="00AF08BC" w:rsidRPr="00AF08BC" w:rsidRDefault="00AF08BC" w:rsidP="00AF08BC">
      <w:pPr>
        <w:pStyle w:val="FinPlanLvl2Para"/>
        <w:numPr>
          <w:ilvl w:val="0"/>
          <w:numId w:val="0"/>
        </w:numPr>
        <w:rPr>
          <w:rFonts w:ascii="Calibri" w:hAnsi="Calibri"/>
        </w:rPr>
      </w:pPr>
      <w:r w:rsidRPr="00AF08BC">
        <w:rPr>
          <w:rFonts w:ascii="Calibri" w:hAnsi="Calibri"/>
        </w:rPr>
        <w:t>Details of the proposed HNB budget will be shared with the Schools’ Forum sub</w:t>
      </w:r>
      <w:r>
        <w:rPr>
          <w:rFonts w:ascii="Calibri" w:hAnsi="Calibri"/>
        </w:rPr>
        <w:t>-</w:t>
      </w:r>
      <w:r w:rsidRPr="00AF08BC">
        <w:rPr>
          <w:rFonts w:ascii="Calibri" w:hAnsi="Calibri"/>
        </w:rPr>
        <w:t>groups prior to the main March 2023 Forum meeting.</w:t>
      </w:r>
    </w:p>
    <w:p w14:paraId="1F499B52" w14:textId="77777777" w:rsidR="00AF08BC" w:rsidRPr="00AF08BC" w:rsidRDefault="00AF08BC" w:rsidP="00AF08BC">
      <w:pPr>
        <w:pStyle w:val="FinPlanLvl2Para"/>
        <w:numPr>
          <w:ilvl w:val="0"/>
          <w:numId w:val="0"/>
        </w:numPr>
        <w:rPr>
          <w:rFonts w:ascii="Calibri" w:hAnsi="Calibri"/>
        </w:rPr>
      </w:pPr>
    </w:p>
    <w:p w14:paraId="093BA6C1" w14:textId="77777777" w:rsidR="00AF08BC" w:rsidRPr="00AF08BC" w:rsidRDefault="00AF08BC" w:rsidP="00AF08BC">
      <w:pPr>
        <w:pStyle w:val="FinPlanLvl2Para"/>
        <w:numPr>
          <w:ilvl w:val="0"/>
          <w:numId w:val="0"/>
        </w:numPr>
        <w:rPr>
          <w:rFonts w:ascii="Calibri" w:hAnsi="Calibri"/>
        </w:rPr>
      </w:pPr>
    </w:p>
    <w:p w14:paraId="4F984B31" w14:textId="5BA4A788" w:rsidR="00AF08BC" w:rsidRPr="00AF08BC" w:rsidRDefault="00AF08BC" w:rsidP="00AF08BC">
      <w:pPr>
        <w:pStyle w:val="FinPlanLvl2Para"/>
        <w:numPr>
          <w:ilvl w:val="0"/>
          <w:numId w:val="0"/>
        </w:numPr>
        <w:rPr>
          <w:rFonts w:ascii="Calibri" w:hAnsi="Calibri"/>
          <w:b/>
          <w:bCs/>
        </w:rPr>
      </w:pPr>
      <w:r w:rsidRPr="00AF08BC">
        <w:rPr>
          <w:rFonts w:ascii="Calibri" w:hAnsi="Calibri"/>
          <w:b/>
          <w:bCs/>
        </w:rPr>
        <w:t xml:space="preserve">Early Years Block </w:t>
      </w:r>
    </w:p>
    <w:p w14:paraId="281B9B68" w14:textId="6E758FBB" w:rsidR="00AF08BC" w:rsidRDefault="00AF08BC" w:rsidP="00AF08BC">
      <w:pPr>
        <w:pStyle w:val="FinPlanLvl2Para"/>
        <w:numPr>
          <w:ilvl w:val="0"/>
          <w:numId w:val="0"/>
        </w:numPr>
        <w:rPr>
          <w:rFonts w:ascii="Calibri" w:hAnsi="Calibri"/>
        </w:rPr>
      </w:pPr>
    </w:p>
    <w:p w14:paraId="24D32834" w14:textId="77777777" w:rsidR="0029251D" w:rsidRDefault="00AF08BC" w:rsidP="00AF08BC">
      <w:pPr>
        <w:pStyle w:val="FinPlanLvl2Para"/>
        <w:numPr>
          <w:ilvl w:val="0"/>
          <w:numId w:val="0"/>
        </w:numPr>
        <w:rPr>
          <w:rFonts w:ascii="Calibri" w:hAnsi="Calibri"/>
        </w:rPr>
      </w:pPr>
      <w:r>
        <w:rPr>
          <w:rFonts w:ascii="Calibri" w:hAnsi="Calibri"/>
        </w:rPr>
        <w:t xml:space="preserve">The indicative </w:t>
      </w:r>
      <w:r w:rsidR="0029251D">
        <w:rPr>
          <w:rFonts w:ascii="Calibri" w:hAnsi="Calibri"/>
        </w:rPr>
        <w:t xml:space="preserve">DSG </w:t>
      </w:r>
      <w:r>
        <w:rPr>
          <w:rFonts w:ascii="Calibri" w:hAnsi="Calibri"/>
        </w:rPr>
        <w:t xml:space="preserve">settlement for </w:t>
      </w:r>
      <w:r w:rsidR="0029251D">
        <w:rPr>
          <w:rFonts w:ascii="Calibri" w:hAnsi="Calibri"/>
        </w:rPr>
        <w:t>the Early Years Block for 2023/24 is £92.5m, an increase of 5.7m (6.6%) when comparing to the Early Years Block settlement for 2022/23.</w:t>
      </w:r>
    </w:p>
    <w:p w14:paraId="24286396" w14:textId="77777777" w:rsidR="0029251D" w:rsidRDefault="0029251D" w:rsidP="00AF08BC">
      <w:pPr>
        <w:pStyle w:val="FinPlanLvl2Para"/>
        <w:numPr>
          <w:ilvl w:val="0"/>
          <w:numId w:val="0"/>
        </w:numPr>
        <w:rPr>
          <w:rFonts w:ascii="Calibri" w:hAnsi="Calibri"/>
        </w:rPr>
      </w:pPr>
    </w:p>
    <w:p w14:paraId="14322D42" w14:textId="49DFBD3C" w:rsidR="0029251D" w:rsidRDefault="0029251D" w:rsidP="00AF08BC">
      <w:pPr>
        <w:pStyle w:val="FinPlanLvl2Para"/>
        <w:numPr>
          <w:ilvl w:val="0"/>
          <w:numId w:val="0"/>
        </w:numPr>
        <w:rPr>
          <w:rFonts w:ascii="Calibri" w:hAnsi="Calibri"/>
        </w:rPr>
      </w:pPr>
      <w:r>
        <w:rPr>
          <w:rFonts w:ascii="Calibri" w:hAnsi="Calibri"/>
        </w:rPr>
        <w:t xml:space="preserve">The Council is required to passthrough a minimum of 95% of the annual allocation to its early years providers and is allowed </w:t>
      </w:r>
      <w:r w:rsidR="004A37FA">
        <w:rPr>
          <w:rFonts w:ascii="Calibri" w:hAnsi="Calibri"/>
        </w:rPr>
        <w:t xml:space="preserve">to </w:t>
      </w:r>
      <w:r>
        <w:rPr>
          <w:rFonts w:ascii="Calibri" w:hAnsi="Calibri"/>
        </w:rPr>
        <w:t>retain a maximum of 5% of the annual allocation to support central functions.</w:t>
      </w:r>
    </w:p>
    <w:p w14:paraId="45BA6B0E" w14:textId="77777777" w:rsidR="0029251D" w:rsidRDefault="0029251D" w:rsidP="00AF08BC">
      <w:pPr>
        <w:pStyle w:val="FinPlanLvl2Para"/>
        <w:numPr>
          <w:ilvl w:val="0"/>
          <w:numId w:val="0"/>
        </w:numPr>
        <w:rPr>
          <w:rFonts w:ascii="Calibri" w:hAnsi="Calibri"/>
        </w:rPr>
      </w:pPr>
    </w:p>
    <w:p w14:paraId="2F17E44F" w14:textId="2DCD788B" w:rsidR="00AF08BC" w:rsidRPr="00AF08BC" w:rsidRDefault="0029251D" w:rsidP="00AF08BC">
      <w:pPr>
        <w:pStyle w:val="FinPlanLvl2Para"/>
        <w:numPr>
          <w:ilvl w:val="0"/>
          <w:numId w:val="0"/>
        </w:numPr>
        <w:rPr>
          <w:rFonts w:ascii="Calibri" w:hAnsi="Calibri"/>
        </w:rPr>
      </w:pPr>
      <w:r>
        <w:rPr>
          <w:rFonts w:ascii="Calibri" w:hAnsi="Calibri"/>
        </w:rPr>
        <w:t>The Early Years budgets will be determined and communicated to providers in full by the mandatory deadline of 28</w:t>
      </w:r>
      <w:r w:rsidRPr="0029251D">
        <w:rPr>
          <w:rFonts w:ascii="Calibri" w:hAnsi="Calibri"/>
          <w:vertAlign w:val="superscript"/>
        </w:rPr>
        <w:t>th</w:t>
      </w:r>
      <w:r>
        <w:rPr>
          <w:rFonts w:ascii="Calibri" w:hAnsi="Calibri"/>
        </w:rPr>
        <w:t xml:space="preserve"> February 2023. </w:t>
      </w:r>
    </w:p>
    <w:sectPr w:rsidR="00AF08BC" w:rsidRPr="00AF08BC" w:rsidSect="00C25C3A">
      <w:pgSz w:w="11906" w:h="16838"/>
      <w:pgMar w:top="1560" w:right="2267"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C27AC" w14:textId="77777777" w:rsidR="00C02D93" w:rsidRDefault="00C02D93" w:rsidP="00714D13">
      <w:r>
        <w:separator/>
      </w:r>
    </w:p>
  </w:endnote>
  <w:endnote w:type="continuationSeparator" w:id="0">
    <w:p w14:paraId="3E5E4642" w14:textId="77777777" w:rsidR="00C02D93" w:rsidRDefault="00C02D93" w:rsidP="0071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A3C2E" w14:textId="77777777" w:rsidR="00C02D93" w:rsidRDefault="00C02D93" w:rsidP="00714D13">
      <w:r>
        <w:separator/>
      </w:r>
    </w:p>
  </w:footnote>
  <w:footnote w:type="continuationSeparator" w:id="0">
    <w:p w14:paraId="2CE21E27" w14:textId="77777777" w:rsidR="00C02D93" w:rsidRDefault="00C02D93" w:rsidP="00714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B7A"/>
    <w:multiLevelType w:val="multilevel"/>
    <w:tmpl w:val="30E636E4"/>
    <w:lvl w:ilvl="0">
      <w:start w:val="1"/>
      <w:numFmt w:val="bullet"/>
      <w:lvlText w:val=""/>
      <w:lvlJc w:val="left"/>
      <w:pPr>
        <w:ind w:left="540" w:hanging="540"/>
      </w:pPr>
      <w:rPr>
        <w:rFonts w:ascii="Symbol" w:hAnsi="Symbol" w:hint="default"/>
      </w:rPr>
    </w:lvl>
    <w:lvl w:ilvl="1">
      <w:start w:val="3"/>
      <w:numFmt w:val="decimal"/>
      <w:lvlText w:val="%1.%2"/>
      <w:lvlJc w:val="left"/>
      <w:pPr>
        <w:ind w:left="1192" w:hanging="540"/>
      </w:pPr>
      <w:rPr>
        <w:rFonts w:hint="default"/>
      </w:rPr>
    </w:lvl>
    <w:lvl w:ilvl="2">
      <w:start w:val="1"/>
      <w:numFmt w:val="bullet"/>
      <w:lvlText w:val=""/>
      <w:lvlJc w:val="left"/>
      <w:pPr>
        <w:ind w:left="2024" w:hanging="720"/>
      </w:pPr>
      <w:rPr>
        <w:rFonts w:ascii="Symbol" w:hAnsi="Symbol" w:hint="default"/>
        <w:b/>
        <w:bCs/>
      </w:rPr>
    </w:lvl>
    <w:lvl w:ilvl="3">
      <w:start w:val="1"/>
      <w:numFmt w:val="bullet"/>
      <w:lvlText w:val=""/>
      <w:lvlJc w:val="left"/>
      <w:pPr>
        <w:ind w:left="3036" w:hanging="1080"/>
      </w:pPr>
      <w:rPr>
        <w:rFonts w:ascii="Symbol" w:hAnsi="Symbol"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1" w15:restartNumberingAfterBreak="0">
    <w:nsid w:val="08013682"/>
    <w:multiLevelType w:val="multilevel"/>
    <w:tmpl w:val="09241348"/>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bullet"/>
      <w:pStyle w:val="FinPlan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AC6369"/>
    <w:multiLevelType w:val="multilevel"/>
    <w:tmpl w:val="30E636E4"/>
    <w:lvl w:ilvl="0">
      <w:start w:val="1"/>
      <w:numFmt w:val="bullet"/>
      <w:lvlText w:val=""/>
      <w:lvlJc w:val="left"/>
      <w:pPr>
        <w:ind w:left="540" w:hanging="540"/>
      </w:pPr>
      <w:rPr>
        <w:rFonts w:ascii="Symbol" w:hAnsi="Symbol" w:hint="default"/>
      </w:rPr>
    </w:lvl>
    <w:lvl w:ilvl="1">
      <w:start w:val="3"/>
      <w:numFmt w:val="decimal"/>
      <w:lvlText w:val="%1.%2"/>
      <w:lvlJc w:val="left"/>
      <w:pPr>
        <w:ind w:left="1192" w:hanging="540"/>
      </w:pPr>
      <w:rPr>
        <w:rFonts w:hint="default"/>
      </w:rPr>
    </w:lvl>
    <w:lvl w:ilvl="2">
      <w:start w:val="1"/>
      <w:numFmt w:val="bullet"/>
      <w:lvlText w:val=""/>
      <w:lvlJc w:val="left"/>
      <w:pPr>
        <w:ind w:left="2024" w:hanging="720"/>
      </w:pPr>
      <w:rPr>
        <w:rFonts w:ascii="Symbol" w:hAnsi="Symbol" w:hint="default"/>
        <w:b/>
        <w:bCs/>
      </w:rPr>
    </w:lvl>
    <w:lvl w:ilvl="3">
      <w:start w:val="1"/>
      <w:numFmt w:val="bullet"/>
      <w:lvlText w:val=""/>
      <w:lvlJc w:val="left"/>
      <w:pPr>
        <w:ind w:left="3036" w:hanging="1080"/>
      </w:pPr>
      <w:rPr>
        <w:rFonts w:ascii="Symbol" w:hAnsi="Symbol"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3" w15:restartNumberingAfterBreak="0">
    <w:nsid w:val="1C0401CB"/>
    <w:multiLevelType w:val="multilevel"/>
    <w:tmpl w:val="30E636E4"/>
    <w:lvl w:ilvl="0">
      <w:start w:val="1"/>
      <w:numFmt w:val="bullet"/>
      <w:lvlText w:val=""/>
      <w:lvlJc w:val="left"/>
      <w:pPr>
        <w:ind w:left="540" w:hanging="540"/>
      </w:pPr>
      <w:rPr>
        <w:rFonts w:ascii="Symbol" w:hAnsi="Symbol" w:hint="default"/>
      </w:rPr>
    </w:lvl>
    <w:lvl w:ilvl="1">
      <w:start w:val="3"/>
      <w:numFmt w:val="decimal"/>
      <w:lvlText w:val="%1.%2"/>
      <w:lvlJc w:val="left"/>
      <w:pPr>
        <w:ind w:left="1192" w:hanging="540"/>
      </w:pPr>
      <w:rPr>
        <w:rFonts w:hint="default"/>
      </w:rPr>
    </w:lvl>
    <w:lvl w:ilvl="2">
      <w:start w:val="1"/>
      <w:numFmt w:val="bullet"/>
      <w:lvlText w:val=""/>
      <w:lvlJc w:val="left"/>
      <w:pPr>
        <w:ind w:left="2024" w:hanging="720"/>
      </w:pPr>
      <w:rPr>
        <w:rFonts w:ascii="Symbol" w:hAnsi="Symbol" w:hint="default"/>
        <w:b/>
        <w:bCs/>
      </w:rPr>
    </w:lvl>
    <w:lvl w:ilvl="3">
      <w:start w:val="1"/>
      <w:numFmt w:val="bullet"/>
      <w:lvlText w:val=""/>
      <w:lvlJc w:val="left"/>
      <w:pPr>
        <w:ind w:left="3036" w:hanging="1080"/>
      </w:pPr>
      <w:rPr>
        <w:rFonts w:ascii="Symbol" w:hAnsi="Symbol"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4" w15:restartNumberingAfterBreak="0">
    <w:nsid w:val="267F1675"/>
    <w:multiLevelType w:val="multilevel"/>
    <w:tmpl w:val="63A8BE9A"/>
    <w:lvl w:ilvl="0">
      <w:start w:val="1"/>
      <w:numFmt w:val="bullet"/>
      <w:lvlText w:val=""/>
      <w:lvlJc w:val="left"/>
      <w:pPr>
        <w:ind w:left="540" w:hanging="540"/>
      </w:pPr>
      <w:rPr>
        <w:rFonts w:ascii="Symbol" w:hAnsi="Symbol" w:hint="default"/>
      </w:rPr>
    </w:lvl>
    <w:lvl w:ilvl="1">
      <w:start w:val="3"/>
      <w:numFmt w:val="decimal"/>
      <w:lvlText w:val="%1.%2"/>
      <w:lvlJc w:val="left"/>
      <w:pPr>
        <w:ind w:left="1192" w:hanging="540"/>
      </w:pPr>
      <w:rPr>
        <w:rFonts w:hint="default"/>
      </w:rPr>
    </w:lvl>
    <w:lvl w:ilvl="2">
      <w:start w:val="1"/>
      <w:numFmt w:val="bullet"/>
      <w:lvlText w:val=""/>
      <w:lvlJc w:val="left"/>
      <w:pPr>
        <w:ind w:left="2024" w:hanging="720"/>
      </w:pPr>
      <w:rPr>
        <w:rFonts w:ascii="Symbol" w:hAnsi="Symbol" w:hint="default"/>
        <w:b/>
        <w:bCs/>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5" w15:restartNumberingAfterBreak="0">
    <w:nsid w:val="2AAB292C"/>
    <w:multiLevelType w:val="multilevel"/>
    <w:tmpl w:val="3C6EA4C4"/>
    <w:lvl w:ilvl="0">
      <w:start w:val="1"/>
      <w:numFmt w:val="decimal"/>
      <w:pStyle w:val="FinPlanLvl1Para"/>
      <w:lvlText w:val="%1."/>
      <w:lvlJc w:val="left"/>
      <w:pPr>
        <w:ind w:left="360" w:hanging="360"/>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FinPlanLvl2Para"/>
      <w:lvlText w:val="%1.%2."/>
      <w:lvlJc w:val="left"/>
      <w:pPr>
        <w:ind w:left="1991" w:hanging="432"/>
      </w:pPr>
      <w:rPr>
        <w:rFonts w:hint="default"/>
        <w:b/>
        <w:bCs/>
      </w:rPr>
    </w:lvl>
    <w:lvl w:ilvl="2">
      <w:start w:val="1"/>
      <w:numFmt w:val="decimal"/>
      <w:pStyle w:val="FinPlanLvl3Para"/>
      <w:lvlText w:val="%1.%2.%3."/>
      <w:lvlJc w:val="left"/>
      <w:pPr>
        <w:ind w:left="-51" w:hanging="504"/>
      </w:pPr>
      <w:rPr>
        <w:rFonts w:hint="default"/>
      </w:rPr>
    </w:lvl>
    <w:lvl w:ilvl="3">
      <w:start w:val="1"/>
      <w:numFmt w:val="decimal"/>
      <w:lvlText w:val="%1.%2.%3.%4."/>
      <w:lvlJc w:val="left"/>
      <w:pPr>
        <w:ind w:left="453" w:hanging="648"/>
      </w:pPr>
      <w:rPr>
        <w:rFonts w:hint="default"/>
      </w:rPr>
    </w:lvl>
    <w:lvl w:ilvl="4">
      <w:start w:val="1"/>
      <w:numFmt w:val="decimal"/>
      <w:lvlText w:val="%1.%2.%3.%4.%5."/>
      <w:lvlJc w:val="left"/>
      <w:pPr>
        <w:ind w:left="957" w:hanging="792"/>
      </w:pPr>
      <w:rPr>
        <w:rFonts w:hint="default"/>
      </w:rPr>
    </w:lvl>
    <w:lvl w:ilvl="5">
      <w:start w:val="1"/>
      <w:numFmt w:val="decimal"/>
      <w:lvlText w:val="%1.%2.%3.%4.%5.%6."/>
      <w:lvlJc w:val="left"/>
      <w:pPr>
        <w:ind w:left="1461" w:hanging="936"/>
      </w:pPr>
      <w:rPr>
        <w:rFonts w:hint="default"/>
      </w:rPr>
    </w:lvl>
    <w:lvl w:ilvl="6">
      <w:start w:val="1"/>
      <w:numFmt w:val="decimal"/>
      <w:lvlText w:val="%1.%2.%3.%4.%5.%6.%7."/>
      <w:lvlJc w:val="left"/>
      <w:pPr>
        <w:ind w:left="1965" w:hanging="1080"/>
      </w:pPr>
      <w:rPr>
        <w:rFonts w:hint="default"/>
      </w:rPr>
    </w:lvl>
    <w:lvl w:ilvl="7">
      <w:start w:val="1"/>
      <w:numFmt w:val="decimal"/>
      <w:lvlText w:val="%1.%2.%3.%4.%5.%6.%7.%8."/>
      <w:lvlJc w:val="left"/>
      <w:pPr>
        <w:ind w:left="2469" w:hanging="1224"/>
      </w:pPr>
      <w:rPr>
        <w:rFonts w:hint="default"/>
      </w:rPr>
    </w:lvl>
    <w:lvl w:ilvl="8">
      <w:start w:val="1"/>
      <w:numFmt w:val="decimal"/>
      <w:lvlText w:val="%1.%2.%3.%4.%5.%6.%7.%8.%9."/>
      <w:lvlJc w:val="left"/>
      <w:pPr>
        <w:ind w:left="3045" w:hanging="1440"/>
      </w:pPr>
      <w:rPr>
        <w:rFonts w:hint="default"/>
      </w:rPr>
    </w:lvl>
  </w:abstractNum>
  <w:abstractNum w:abstractNumId="6"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4DEC139B"/>
    <w:multiLevelType w:val="multilevel"/>
    <w:tmpl w:val="30E636E4"/>
    <w:lvl w:ilvl="0">
      <w:start w:val="1"/>
      <w:numFmt w:val="bullet"/>
      <w:lvlText w:val=""/>
      <w:lvlJc w:val="left"/>
      <w:pPr>
        <w:ind w:left="540" w:hanging="540"/>
      </w:pPr>
      <w:rPr>
        <w:rFonts w:ascii="Symbol" w:hAnsi="Symbol" w:hint="default"/>
      </w:rPr>
    </w:lvl>
    <w:lvl w:ilvl="1">
      <w:start w:val="3"/>
      <w:numFmt w:val="decimal"/>
      <w:lvlText w:val="%1.%2"/>
      <w:lvlJc w:val="left"/>
      <w:pPr>
        <w:ind w:left="1192" w:hanging="540"/>
      </w:pPr>
      <w:rPr>
        <w:rFonts w:hint="default"/>
      </w:rPr>
    </w:lvl>
    <w:lvl w:ilvl="2">
      <w:start w:val="1"/>
      <w:numFmt w:val="bullet"/>
      <w:lvlText w:val=""/>
      <w:lvlJc w:val="left"/>
      <w:pPr>
        <w:ind w:left="2024" w:hanging="720"/>
      </w:pPr>
      <w:rPr>
        <w:rFonts w:ascii="Symbol" w:hAnsi="Symbol" w:hint="default"/>
        <w:b/>
        <w:bCs/>
      </w:rPr>
    </w:lvl>
    <w:lvl w:ilvl="3">
      <w:start w:val="1"/>
      <w:numFmt w:val="bullet"/>
      <w:lvlText w:val=""/>
      <w:lvlJc w:val="left"/>
      <w:pPr>
        <w:ind w:left="3036" w:hanging="1080"/>
      </w:pPr>
      <w:rPr>
        <w:rFonts w:ascii="Symbol" w:hAnsi="Symbol"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num w:numId="1" w16cid:durableId="1503737633">
    <w:abstractNumId w:val="6"/>
  </w:num>
  <w:num w:numId="2" w16cid:durableId="202717293">
    <w:abstractNumId w:val="5"/>
  </w:num>
  <w:num w:numId="3" w16cid:durableId="775448060">
    <w:abstractNumId w:val="1"/>
  </w:num>
  <w:num w:numId="4" w16cid:durableId="809056408">
    <w:abstractNumId w:val="4"/>
  </w:num>
  <w:num w:numId="5" w16cid:durableId="121272347">
    <w:abstractNumId w:val="2"/>
  </w:num>
  <w:num w:numId="6" w16cid:durableId="1894736853">
    <w:abstractNumId w:val="7"/>
  </w:num>
  <w:num w:numId="7" w16cid:durableId="338966815">
    <w:abstractNumId w:val="3"/>
  </w:num>
  <w:num w:numId="8" w16cid:durableId="46298213">
    <w:abstractNumId w:val="5"/>
  </w:num>
  <w:num w:numId="9" w16cid:durableId="44677294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0A6CHekK1qOqZrbJFJflDTXLwxN8UsqbAf6rk1Dj3hgdrCL9HzZVT5XfsYCCDkC+"/>
  </w:docVars>
  <w:rsids>
    <w:rsidRoot w:val="008544CD"/>
    <w:rsid w:val="00010ECA"/>
    <w:rsid w:val="00017E1F"/>
    <w:rsid w:val="00025D18"/>
    <w:rsid w:val="00040A2A"/>
    <w:rsid w:val="00041ADC"/>
    <w:rsid w:val="00051619"/>
    <w:rsid w:val="00057C6A"/>
    <w:rsid w:val="00060D23"/>
    <w:rsid w:val="00064120"/>
    <w:rsid w:val="000961FB"/>
    <w:rsid w:val="000A14DA"/>
    <w:rsid w:val="000B54BC"/>
    <w:rsid w:val="000C05CA"/>
    <w:rsid w:val="000C1E1D"/>
    <w:rsid w:val="000C283C"/>
    <w:rsid w:val="000C5B69"/>
    <w:rsid w:val="000D17D0"/>
    <w:rsid w:val="000D392E"/>
    <w:rsid w:val="000D39E2"/>
    <w:rsid w:val="000D43EA"/>
    <w:rsid w:val="000D4BFA"/>
    <w:rsid w:val="000F301E"/>
    <w:rsid w:val="001003B8"/>
    <w:rsid w:val="0010247A"/>
    <w:rsid w:val="00102CDF"/>
    <w:rsid w:val="001071D0"/>
    <w:rsid w:val="00112C51"/>
    <w:rsid w:val="00114C84"/>
    <w:rsid w:val="00125521"/>
    <w:rsid w:val="00132699"/>
    <w:rsid w:val="00144B4C"/>
    <w:rsid w:val="00145631"/>
    <w:rsid w:val="00153779"/>
    <w:rsid w:val="00160187"/>
    <w:rsid w:val="0016718B"/>
    <w:rsid w:val="00167716"/>
    <w:rsid w:val="001725DE"/>
    <w:rsid w:val="001729E3"/>
    <w:rsid w:val="001768C6"/>
    <w:rsid w:val="00192FB5"/>
    <w:rsid w:val="00193FEA"/>
    <w:rsid w:val="0019699A"/>
    <w:rsid w:val="001A131F"/>
    <w:rsid w:val="001B1322"/>
    <w:rsid w:val="001C0694"/>
    <w:rsid w:val="001C170B"/>
    <w:rsid w:val="001C3A3F"/>
    <w:rsid w:val="001C4B5D"/>
    <w:rsid w:val="001E623B"/>
    <w:rsid w:val="001F1F7F"/>
    <w:rsid w:val="002037F3"/>
    <w:rsid w:val="0021662C"/>
    <w:rsid w:val="002174F2"/>
    <w:rsid w:val="0022109D"/>
    <w:rsid w:val="00223B04"/>
    <w:rsid w:val="00224247"/>
    <w:rsid w:val="00233316"/>
    <w:rsid w:val="00243C70"/>
    <w:rsid w:val="00251C1A"/>
    <w:rsid w:val="002606D7"/>
    <w:rsid w:val="00265605"/>
    <w:rsid w:val="00272BE1"/>
    <w:rsid w:val="0027388F"/>
    <w:rsid w:val="0029251D"/>
    <w:rsid w:val="002C5061"/>
    <w:rsid w:val="002D351C"/>
    <w:rsid w:val="002D580D"/>
    <w:rsid w:val="002E3FD4"/>
    <w:rsid w:val="002E5915"/>
    <w:rsid w:val="002E6171"/>
    <w:rsid w:val="002E72B7"/>
    <w:rsid w:val="002F25F3"/>
    <w:rsid w:val="002F6B16"/>
    <w:rsid w:val="00302497"/>
    <w:rsid w:val="00311D16"/>
    <w:rsid w:val="00311EB3"/>
    <w:rsid w:val="003124D9"/>
    <w:rsid w:val="00314720"/>
    <w:rsid w:val="003266DB"/>
    <w:rsid w:val="003343B9"/>
    <w:rsid w:val="003443E8"/>
    <w:rsid w:val="00344CC3"/>
    <w:rsid w:val="003450B4"/>
    <w:rsid w:val="003503FC"/>
    <w:rsid w:val="0036293A"/>
    <w:rsid w:val="0037336F"/>
    <w:rsid w:val="003737E7"/>
    <w:rsid w:val="00384FD8"/>
    <w:rsid w:val="00394B37"/>
    <w:rsid w:val="003974FB"/>
    <w:rsid w:val="003A3D5F"/>
    <w:rsid w:val="003A44EA"/>
    <w:rsid w:val="003B4E0C"/>
    <w:rsid w:val="003C1A9E"/>
    <w:rsid w:val="003C5C4E"/>
    <w:rsid w:val="003C76AD"/>
    <w:rsid w:val="003E148A"/>
    <w:rsid w:val="003F12CF"/>
    <w:rsid w:val="003F1C64"/>
    <w:rsid w:val="003F2824"/>
    <w:rsid w:val="003F4AF3"/>
    <w:rsid w:val="003F71AE"/>
    <w:rsid w:val="004032B8"/>
    <w:rsid w:val="00412CB1"/>
    <w:rsid w:val="0041767E"/>
    <w:rsid w:val="0042387B"/>
    <w:rsid w:val="00427F2C"/>
    <w:rsid w:val="00431EE3"/>
    <w:rsid w:val="004323CD"/>
    <w:rsid w:val="00433316"/>
    <w:rsid w:val="00434268"/>
    <w:rsid w:val="004362D3"/>
    <w:rsid w:val="0044212B"/>
    <w:rsid w:val="004477CD"/>
    <w:rsid w:val="004517A7"/>
    <w:rsid w:val="00454B32"/>
    <w:rsid w:val="00472ADA"/>
    <w:rsid w:val="004733DB"/>
    <w:rsid w:val="004753F4"/>
    <w:rsid w:val="004910B4"/>
    <w:rsid w:val="00491CFA"/>
    <w:rsid w:val="004938A3"/>
    <w:rsid w:val="00494A9D"/>
    <w:rsid w:val="00495181"/>
    <w:rsid w:val="0049565A"/>
    <w:rsid w:val="004A37FA"/>
    <w:rsid w:val="004A469C"/>
    <w:rsid w:val="004B07F5"/>
    <w:rsid w:val="004B78AE"/>
    <w:rsid w:val="004D10C6"/>
    <w:rsid w:val="004E443D"/>
    <w:rsid w:val="004F2213"/>
    <w:rsid w:val="004F40BD"/>
    <w:rsid w:val="004F40DF"/>
    <w:rsid w:val="00502A00"/>
    <w:rsid w:val="005052AA"/>
    <w:rsid w:val="005124FF"/>
    <w:rsid w:val="0051297A"/>
    <w:rsid w:val="00525D4A"/>
    <w:rsid w:val="00540C5F"/>
    <w:rsid w:val="005516F6"/>
    <w:rsid w:val="005528F4"/>
    <w:rsid w:val="00580CF7"/>
    <w:rsid w:val="00582756"/>
    <w:rsid w:val="00583E05"/>
    <w:rsid w:val="00585512"/>
    <w:rsid w:val="00587026"/>
    <w:rsid w:val="00597C02"/>
    <w:rsid w:val="005A2F8C"/>
    <w:rsid w:val="005A5FAC"/>
    <w:rsid w:val="005B6342"/>
    <w:rsid w:val="005C07B5"/>
    <w:rsid w:val="005E1B5E"/>
    <w:rsid w:val="005E625F"/>
    <w:rsid w:val="005F26ED"/>
    <w:rsid w:val="005F4807"/>
    <w:rsid w:val="00601295"/>
    <w:rsid w:val="0061434E"/>
    <w:rsid w:val="00627C70"/>
    <w:rsid w:val="006356E5"/>
    <w:rsid w:val="00640471"/>
    <w:rsid w:val="006447E9"/>
    <w:rsid w:val="00652353"/>
    <w:rsid w:val="00652D91"/>
    <w:rsid w:val="0065341E"/>
    <w:rsid w:val="00661D52"/>
    <w:rsid w:val="006645D3"/>
    <w:rsid w:val="006656CF"/>
    <w:rsid w:val="00666653"/>
    <w:rsid w:val="00695FBA"/>
    <w:rsid w:val="006A05AF"/>
    <w:rsid w:val="006A068E"/>
    <w:rsid w:val="006A74AC"/>
    <w:rsid w:val="006B1E5E"/>
    <w:rsid w:val="006C52BF"/>
    <w:rsid w:val="006C7497"/>
    <w:rsid w:val="006C7DBC"/>
    <w:rsid w:val="006E04C9"/>
    <w:rsid w:val="006F4831"/>
    <w:rsid w:val="006F6961"/>
    <w:rsid w:val="00700601"/>
    <w:rsid w:val="00700F82"/>
    <w:rsid w:val="00705248"/>
    <w:rsid w:val="00711ACE"/>
    <w:rsid w:val="00714D13"/>
    <w:rsid w:val="0071678D"/>
    <w:rsid w:val="0072196D"/>
    <w:rsid w:val="00725156"/>
    <w:rsid w:val="00727846"/>
    <w:rsid w:val="0073164E"/>
    <w:rsid w:val="00734461"/>
    <w:rsid w:val="00745293"/>
    <w:rsid w:val="0075267D"/>
    <w:rsid w:val="00753126"/>
    <w:rsid w:val="007614A4"/>
    <w:rsid w:val="0076461C"/>
    <w:rsid w:val="00764E8B"/>
    <w:rsid w:val="00767E4B"/>
    <w:rsid w:val="007700EF"/>
    <w:rsid w:val="0077093A"/>
    <w:rsid w:val="00773ACB"/>
    <w:rsid w:val="007741C3"/>
    <w:rsid w:val="007744B7"/>
    <w:rsid w:val="00786D9D"/>
    <w:rsid w:val="007870EE"/>
    <w:rsid w:val="00792374"/>
    <w:rsid w:val="00797BC3"/>
    <w:rsid w:val="007A4BD4"/>
    <w:rsid w:val="007B068A"/>
    <w:rsid w:val="007B351A"/>
    <w:rsid w:val="007E0684"/>
    <w:rsid w:val="007E2D31"/>
    <w:rsid w:val="007E6725"/>
    <w:rsid w:val="007E696A"/>
    <w:rsid w:val="007F448F"/>
    <w:rsid w:val="008007CC"/>
    <w:rsid w:val="00805C18"/>
    <w:rsid w:val="008130A8"/>
    <w:rsid w:val="00830FBD"/>
    <w:rsid w:val="0083146A"/>
    <w:rsid w:val="008367C4"/>
    <w:rsid w:val="008402F7"/>
    <w:rsid w:val="00843AA9"/>
    <w:rsid w:val="00844750"/>
    <w:rsid w:val="008464EC"/>
    <w:rsid w:val="00851CB4"/>
    <w:rsid w:val="008544CD"/>
    <w:rsid w:val="00855290"/>
    <w:rsid w:val="00873F36"/>
    <w:rsid w:val="00875318"/>
    <w:rsid w:val="00877364"/>
    <w:rsid w:val="00892A95"/>
    <w:rsid w:val="008A3EB3"/>
    <w:rsid w:val="008B1519"/>
    <w:rsid w:val="008B350B"/>
    <w:rsid w:val="008B4426"/>
    <w:rsid w:val="008B6A9C"/>
    <w:rsid w:val="008D1032"/>
    <w:rsid w:val="008D504F"/>
    <w:rsid w:val="008D558C"/>
    <w:rsid w:val="008F2903"/>
    <w:rsid w:val="008F325E"/>
    <w:rsid w:val="008F4028"/>
    <w:rsid w:val="008F6346"/>
    <w:rsid w:val="008F70A6"/>
    <w:rsid w:val="009033AF"/>
    <w:rsid w:val="0090396E"/>
    <w:rsid w:val="00903BC6"/>
    <w:rsid w:val="00905D39"/>
    <w:rsid w:val="00914425"/>
    <w:rsid w:val="00915A7A"/>
    <w:rsid w:val="00916F6D"/>
    <w:rsid w:val="0092130E"/>
    <w:rsid w:val="0092499B"/>
    <w:rsid w:val="00925CDA"/>
    <w:rsid w:val="00931EFE"/>
    <w:rsid w:val="009321D2"/>
    <w:rsid w:val="00935D50"/>
    <w:rsid w:val="00940D34"/>
    <w:rsid w:val="009424B4"/>
    <w:rsid w:val="009460FE"/>
    <w:rsid w:val="009611E5"/>
    <w:rsid w:val="00961380"/>
    <w:rsid w:val="009620CA"/>
    <w:rsid w:val="00962BBE"/>
    <w:rsid w:val="009653AF"/>
    <w:rsid w:val="00977DAE"/>
    <w:rsid w:val="00984A78"/>
    <w:rsid w:val="009854F8"/>
    <w:rsid w:val="009A1925"/>
    <w:rsid w:val="009B370A"/>
    <w:rsid w:val="009C1C43"/>
    <w:rsid w:val="009C3890"/>
    <w:rsid w:val="009C7087"/>
    <w:rsid w:val="009C7824"/>
    <w:rsid w:val="009D178F"/>
    <w:rsid w:val="009E15B7"/>
    <w:rsid w:val="009E1EF6"/>
    <w:rsid w:val="009E595A"/>
    <w:rsid w:val="009E767C"/>
    <w:rsid w:val="009F01AD"/>
    <w:rsid w:val="009F3B4A"/>
    <w:rsid w:val="00A03B11"/>
    <w:rsid w:val="00A05F12"/>
    <w:rsid w:val="00A07D88"/>
    <w:rsid w:val="00A10347"/>
    <w:rsid w:val="00A2008B"/>
    <w:rsid w:val="00A26845"/>
    <w:rsid w:val="00A30180"/>
    <w:rsid w:val="00A31E36"/>
    <w:rsid w:val="00A3522F"/>
    <w:rsid w:val="00A401B4"/>
    <w:rsid w:val="00A45F06"/>
    <w:rsid w:val="00A472DD"/>
    <w:rsid w:val="00A477E5"/>
    <w:rsid w:val="00A555ED"/>
    <w:rsid w:val="00A64C31"/>
    <w:rsid w:val="00A654EC"/>
    <w:rsid w:val="00A71094"/>
    <w:rsid w:val="00A7543E"/>
    <w:rsid w:val="00A847B1"/>
    <w:rsid w:val="00A90898"/>
    <w:rsid w:val="00A91BEC"/>
    <w:rsid w:val="00AA5198"/>
    <w:rsid w:val="00AB082C"/>
    <w:rsid w:val="00AB7D36"/>
    <w:rsid w:val="00AC65A1"/>
    <w:rsid w:val="00AE7F12"/>
    <w:rsid w:val="00AF08BC"/>
    <w:rsid w:val="00AF0AF3"/>
    <w:rsid w:val="00AF66C8"/>
    <w:rsid w:val="00B01023"/>
    <w:rsid w:val="00B031F3"/>
    <w:rsid w:val="00B055B6"/>
    <w:rsid w:val="00B12EB0"/>
    <w:rsid w:val="00B14E8F"/>
    <w:rsid w:val="00B21AF6"/>
    <w:rsid w:val="00B2542D"/>
    <w:rsid w:val="00B26961"/>
    <w:rsid w:val="00B31D31"/>
    <w:rsid w:val="00B33074"/>
    <w:rsid w:val="00B3393B"/>
    <w:rsid w:val="00B553CA"/>
    <w:rsid w:val="00B6058F"/>
    <w:rsid w:val="00B60FC9"/>
    <w:rsid w:val="00B6590D"/>
    <w:rsid w:val="00B65B7C"/>
    <w:rsid w:val="00B71C72"/>
    <w:rsid w:val="00B83102"/>
    <w:rsid w:val="00B93682"/>
    <w:rsid w:val="00BA2E72"/>
    <w:rsid w:val="00BA37A6"/>
    <w:rsid w:val="00BA6C24"/>
    <w:rsid w:val="00BB1EC4"/>
    <w:rsid w:val="00BC3206"/>
    <w:rsid w:val="00BD1E25"/>
    <w:rsid w:val="00BD5C89"/>
    <w:rsid w:val="00BD64AD"/>
    <w:rsid w:val="00BF0116"/>
    <w:rsid w:val="00BF2AF0"/>
    <w:rsid w:val="00C02D93"/>
    <w:rsid w:val="00C118B2"/>
    <w:rsid w:val="00C25C3A"/>
    <w:rsid w:val="00C27E20"/>
    <w:rsid w:val="00C360EF"/>
    <w:rsid w:val="00C377CF"/>
    <w:rsid w:val="00C4076B"/>
    <w:rsid w:val="00C42C28"/>
    <w:rsid w:val="00C57154"/>
    <w:rsid w:val="00C5761A"/>
    <w:rsid w:val="00C57798"/>
    <w:rsid w:val="00C6338F"/>
    <w:rsid w:val="00C664CE"/>
    <w:rsid w:val="00C71EC6"/>
    <w:rsid w:val="00C72668"/>
    <w:rsid w:val="00C766D7"/>
    <w:rsid w:val="00C76A0E"/>
    <w:rsid w:val="00C90964"/>
    <w:rsid w:val="00C91997"/>
    <w:rsid w:val="00C977D3"/>
    <w:rsid w:val="00CA3269"/>
    <w:rsid w:val="00CA391F"/>
    <w:rsid w:val="00CA473C"/>
    <w:rsid w:val="00CB3B03"/>
    <w:rsid w:val="00CC12C1"/>
    <w:rsid w:val="00CC4D9A"/>
    <w:rsid w:val="00CE0BF8"/>
    <w:rsid w:val="00CE63D1"/>
    <w:rsid w:val="00CE71E2"/>
    <w:rsid w:val="00CE7F5C"/>
    <w:rsid w:val="00D005DE"/>
    <w:rsid w:val="00D11610"/>
    <w:rsid w:val="00D1243F"/>
    <w:rsid w:val="00D12A52"/>
    <w:rsid w:val="00D163C6"/>
    <w:rsid w:val="00D2151D"/>
    <w:rsid w:val="00D23898"/>
    <w:rsid w:val="00D30894"/>
    <w:rsid w:val="00D3315C"/>
    <w:rsid w:val="00D7002F"/>
    <w:rsid w:val="00D72503"/>
    <w:rsid w:val="00D73AEA"/>
    <w:rsid w:val="00D774CF"/>
    <w:rsid w:val="00D86ACC"/>
    <w:rsid w:val="00D94AE3"/>
    <w:rsid w:val="00D9707A"/>
    <w:rsid w:val="00DA1D87"/>
    <w:rsid w:val="00DA3AB8"/>
    <w:rsid w:val="00DB0BEC"/>
    <w:rsid w:val="00DB5F01"/>
    <w:rsid w:val="00DC1408"/>
    <w:rsid w:val="00DC35FE"/>
    <w:rsid w:val="00DE1147"/>
    <w:rsid w:val="00E0129D"/>
    <w:rsid w:val="00E05DCD"/>
    <w:rsid w:val="00E078E9"/>
    <w:rsid w:val="00E16D9D"/>
    <w:rsid w:val="00E320C5"/>
    <w:rsid w:val="00E50508"/>
    <w:rsid w:val="00E528D9"/>
    <w:rsid w:val="00E656BD"/>
    <w:rsid w:val="00E67013"/>
    <w:rsid w:val="00E77F31"/>
    <w:rsid w:val="00E954DF"/>
    <w:rsid w:val="00EA0FD6"/>
    <w:rsid w:val="00EA4A73"/>
    <w:rsid w:val="00EC0E9C"/>
    <w:rsid w:val="00EC430C"/>
    <w:rsid w:val="00EC624D"/>
    <w:rsid w:val="00EC7531"/>
    <w:rsid w:val="00ED6506"/>
    <w:rsid w:val="00ED6FD5"/>
    <w:rsid w:val="00ED7848"/>
    <w:rsid w:val="00EE270C"/>
    <w:rsid w:val="00F078C1"/>
    <w:rsid w:val="00F15C63"/>
    <w:rsid w:val="00F32E4C"/>
    <w:rsid w:val="00F365C7"/>
    <w:rsid w:val="00F41E98"/>
    <w:rsid w:val="00F47F26"/>
    <w:rsid w:val="00F543AF"/>
    <w:rsid w:val="00F55837"/>
    <w:rsid w:val="00F5672D"/>
    <w:rsid w:val="00F76FCE"/>
    <w:rsid w:val="00F80531"/>
    <w:rsid w:val="00F846A1"/>
    <w:rsid w:val="00F9065B"/>
    <w:rsid w:val="00F96688"/>
    <w:rsid w:val="00F97805"/>
    <w:rsid w:val="00FA3623"/>
    <w:rsid w:val="00FA7E6B"/>
    <w:rsid w:val="00FB130E"/>
    <w:rsid w:val="00FC01EA"/>
    <w:rsid w:val="00FC2ACC"/>
    <w:rsid w:val="00FC2E09"/>
    <w:rsid w:val="00FC4A73"/>
    <w:rsid w:val="00FC7992"/>
    <w:rsid w:val="00FD0C00"/>
    <w:rsid w:val="00FD1261"/>
    <w:rsid w:val="00FD4CF2"/>
    <w:rsid w:val="00FD7D10"/>
    <w:rsid w:val="00FE0F37"/>
    <w:rsid w:val="00FE2697"/>
    <w:rsid w:val="00FE2813"/>
    <w:rsid w:val="00FE317B"/>
    <w:rsid w:val="00FE56A4"/>
    <w:rsid w:val="00FF2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D34058"/>
  <w15:docId w15:val="{E1F18736-CAC6-4E62-B0DA-D59F236B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72196D"/>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5A2F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44CD"/>
    <w:rPr>
      <w:sz w:val="22"/>
      <w:szCs w:val="22"/>
      <w:lang w:eastAsia="en-US"/>
    </w:rPr>
  </w:style>
  <w:style w:type="paragraph" w:styleId="ListParagraph">
    <w:name w:val="List Paragraph"/>
    <w:basedOn w:val="Normal"/>
    <w:link w:val="ListParagraphChar"/>
    <w:uiPriority w:val="34"/>
    <w:qFormat/>
    <w:rsid w:val="002C5061"/>
    <w:pPr>
      <w:ind w:left="720"/>
    </w:pPr>
  </w:style>
  <w:style w:type="paragraph" w:styleId="BalloonText">
    <w:name w:val="Balloon Text"/>
    <w:basedOn w:val="Normal"/>
    <w:semiHidden/>
    <w:rsid w:val="008402F7"/>
    <w:rPr>
      <w:rFonts w:ascii="Tahoma" w:hAnsi="Tahoma" w:cs="Tahoma"/>
      <w:sz w:val="16"/>
      <w:szCs w:val="16"/>
    </w:rPr>
  </w:style>
  <w:style w:type="paragraph" w:styleId="Header">
    <w:name w:val="header"/>
    <w:basedOn w:val="Normal"/>
    <w:rsid w:val="005E625F"/>
    <w:pPr>
      <w:tabs>
        <w:tab w:val="center" w:pos="4153"/>
        <w:tab w:val="right" w:pos="8306"/>
      </w:tabs>
    </w:pPr>
  </w:style>
  <w:style w:type="paragraph" w:styleId="Footer">
    <w:name w:val="footer"/>
    <w:basedOn w:val="Normal"/>
    <w:rsid w:val="005E625F"/>
    <w:pPr>
      <w:tabs>
        <w:tab w:val="center" w:pos="4153"/>
        <w:tab w:val="right" w:pos="8306"/>
      </w:tabs>
    </w:pPr>
  </w:style>
  <w:style w:type="character" w:styleId="PageNumber">
    <w:name w:val="page number"/>
    <w:basedOn w:val="DefaultParagraphFont"/>
    <w:rsid w:val="005E625F"/>
  </w:style>
  <w:style w:type="paragraph" w:customStyle="1" w:styleId="DeptBullets">
    <w:name w:val="DeptBullets"/>
    <w:basedOn w:val="Normal"/>
    <w:rsid w:val="00057C6A"/>
    <w:pPr>
      <w:numPr>
        <w:numId w:val="1"/>
      </w:numPr>
      <w:tabs>
        <w:tab w:val="clear" w:pos="720"/>
      </w:tabs>
      <w:overflowPunct w:val="0"/>
      <w:autoSpaceDE w:val="0"/>
      <w:autoSpaceDN w:val="0"/>
      <w:spacing w:after="240" w:line="240" w:lineRule="auto"/>
      <w:ind w:left="360"/>
    </w:pPr>
    <w:rPr>
      <w:rFonts w:ascii="Arial" w:hAnsi="Arial" w:cs="Arial"/>
      <w:sz w:val="24"/>
      <w:szCs w:val="24"/>
    </w:rPr>
  </w:style>
  <w:style w:type="table" w:styleId="TableGrid">
    <w:name w:val="Table Grid"/>
    <w:basedOn w:val="TableNormal"/>
    <w:uiPriority w:val="59"/>
    <w:rsid w:val="00FE5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E443D"/>
    <w:rPr>
      <w:sz w:val="20"/>
      <w:szCs w:val="20"/>
    </w:rPr>
  </w:style>
  <w:style w:type="character" w:customStyle="1" w:styleId="EndnoteTextChar">
    <w:name w:val="Endnote Text Char"/>
    <w:link w:val="EndnoteText"/>
    <w:uiPriority w:val="99"/>
    <w:semiHidden/>
    <w:rsid w:val="004E443D"/>
    <w:rPr>
      <w:lang w:eastAsia="en-US"/>
    </w:rPr>
  </w:style>
  <w:style w:type="character" w:styleId="EndnoteReference">
    <w:name w:val="endnote reference"/>
    <w:uiPriority w:val="99"/>
    <w:semiHidden/>
    <w:unhideWhenUsed/>
    <w:rsid w:val="004E443D"/>
    <w:rPr>
      <w:vertAlign w:val="superscript"/>
    </w:rPr>
  </w:style>
  <w:style w:type="paragraph" w:styleId="FootnoteText">
    <w:name w:val="footnote text"/>
    <w:basedOn w:val="Normal"/>
    <w:link w:val="FootnoteTextChar"/>
    <w:uiPriority w:val="99"/>
    <w:semiHidden/>
    <w:unhideWhenUsed/>
    <w:rsid w:val="004E443D"/>
    <w:rPr>
      <w:sz w:val="20"/>
      <w:szCs w:val="20"/>
    </w:rPr>
  </w:style>
  <w:style w:type="character" w:customStyle="1" w:styleId="FootnoteTextChar">
    <w:name w:val="Footnote Text Char"/>
    <w:link w:val="FootnoteText"/>
    <w:uiPriority w:val="99"/>
    <w:semiHidden/>
    <w:rsid w:val="004E443D"/>
    <w:rPr>
      <w:lang w:eastAsia="en-US"/>
    </w:rPr>
  </w:style>
  <w:style w:type="character" w:styleId="FootnoteReference">
    <w:name w:val="footnote reference"/>
    <w:uiPriority w:val="99"/>
    <w:semiHidden/>
    <w:unhideWhenUsed/>
    <w:rsid w:val="004E443D"/>
    <w:rPr>
      <w:vertAlign w:val="superscript"/>
    </w:rPr>
  </w:style>
  <w:style w:type="character" w:styleId="Hyperlink">
    <w:name w:val="Hyperlink"/>
    <w:uiPriority w:val="99"/>
    <w:semiHidden/>
    <w:unhideWhenUsed/>
    <w:rsid w:val="00A30180"/>
    <w:rPr>
      <w:color w:val="0000FF"/>
      <w:u w:val="single"/>
    </w:rPr>
  </w:style>
  <w:style w:type="paragraph" w:styleId="NormalWeb">
    <w:name w:val="Normal (Web)"/>
    <w:basedOn w:val="Normal"/>
    <w:uiPriority w:val="99"/>
    <w:semiHidden/>
    <w:unhideWhenUsed/>
    <w:rsid w:val="00A30180"/>
    <w:pPr>
      <w:spacing w:before="100" w:beforeAutospacing="1" w:after="100" w:afterAutospacing="1" w:line="240" w:lineRule="auto"/>
    </w:pPr>
    <w:rPr>
      <w:rFonts w:ascii="Times New Roman" w:hAnsi="Times New Roman"/>
      <w:sz w:val="24"/>
      <w:szCs w:val="24"/>
      <w:lang w:eastAsia="en-GB"/>
    </w:rPr>
  </w:style>
  <w:style w:type="character" w:customStyle="1" w:styleId="Heading1Char">
    <w:name w:val="Heading 1 Char"/>
    <w:basedOn w:val="DefaultParagraphFont"/>
    <w:link w:val="Heading1"/>
    <w:rsid w:val="0072196D"/>
    <w:rPr>
      <w:rFonts w:eastAsia="Times New Roman"/>
      <w:b/>
      <w:bCs/>
      <w:kern w:val="32"/>
      <w:sz w:val="32"/>
      <w:szCs w:val="32"/>
      <w:lang w:eastAsia="en-US"/>
    </w:rPr>
  </w:style>
  <w:style w:type="paragraph" w:customStyle="1" w:styleId="FinPlanLvl1Para">
    <w:name w:val="Fin Plan Lvl 1 Para"/>
    <w:basedOn w:val="Normal"/>
    <w:link w:val="FinPlanLvl1ParaChar"/>
    <w:qFormat/>
    <w:rsid w:val="0072196D"/>
    <w:pPr>
      <w:numPr>
        <w:numId w:val="2"/>
      </w:numPr>
      <w:spacing w:after="0" w:line="240" w:lineRule="auto"/>
      <w:outlineLvl w:val="1"/>
    </w:pPr>
    <w:rPr>
      <w:rFonts w:ascii="Arial" w:hAnsi="Arial"/>
      <w:b/>
      <w:sz w:val="24"/>
      <w:szCs w:val="24"/>
    </w:rPr>
  </w:style>
  <w:style w:type="paragraph" w:customStyle="1" w:styleId="FinPlanLvl2Para">
    <w:name w:val="Fin Plan Lvl 2 Para"/>
    <w:basedOn w:val="Normal"/>
    <w:link w:val="FinPlanLvl2ParaChar"/>
    <w:qFormat/>
    <w:rsid w:val="0072196D"/>
    <w:pPr>
      <w:numPr>
        <w:ilvl w:val="1"/>
        <w:numId w:val="2"/>
      </w:numPr>
      <w:spacing w:after="0" w:line="240" w:lineRule="auto"/>
    </w:pPr>
    <w:rPr>
      <w:rFonts w:ascii="Arial" w:hAnsi="Arial"/>
      <w:sz w:val="24"/>
      <w:szCs w:val="24"/>
    </w:rPr>
  </w:style>
  <w:style w:type="character" w:customStyle="1" w:styleId="FinPlanLvl2ParaChar">
    <w:name w:val="Fin Plan Lvl 2 Para Char"/>
    <w:basedOn w:val="DefaultParagraphFont"/>
    <w:link w:val="FinPlanLvl2Para"/>
    <w:rsid w:val="0072196D"/>
    <w:rPr>
      <w:rFonts w:ascii="Arial" w:hAnsi="Arial"/>
      <w:sz w:val="24"/>
      <w:szCs w:val="24"/>
      <w:lang w:eastAsia="en-US"/>
    </w:rPr>
  </w:style>
  <w:style w:type="paragraph" w:customStyle="1" w:styleId="FinPlanBlankLine">
    <w:name w:val="Fin Plan Blank Line"/>
    <w:basedOn w:val="Normal"/>
    <w:link w:val="FinPlanBlankLineChar"/>
    <w:qFormat/>
    <w:rsid w:val="0072196D"/>
    <w:pPr>
      <w:spacing w:after="0" w:line="240" w:lineRule="auto"/>
    </w:pPr>
    <w:rPr>
      <w:rFonts w:ascii="Arial" w:hAnsi="Arial"/>
      <w:bCs/>
      <w:iCs/>
      <w:sz w:val="24"/>
      <w:szCs w:val="26"/>
    </w:rPr>
  </w:style>
  <w:style w:type="character" w:customStyle="1" w:styleId="FinPlanBlankLineChar">
    <w:name w:val="Fin Plan Blank Line Char"/>
    <w:basedOn w:val="DefaultParagraphFont"/>
    <w:link w:val="FinPlanBlankLine"/>
    <w:rsid w:val="0072196D"/>
    <w:rPr>
      <w:rFonts w:ascii="Arial" w:hAnsi="Arial"/>
      <w:bCs/>
      <w:iCs/>
      <w:sz w:val="24"/>
      <w:szCs w:val="26"/>
      <w:lang w:eastAsia="en-US"/>
    </w:rPr>
  </w:style>
  <w:style w:type="paragraph" w:customStyle="1" w:styleId="FinPlanLvl3Para">
    <w:name w:val="Fin Plan Lvl 3 Para"/>
    <w:basedOn w:val="FinPlanLvl2Para"/>
    <w:qFormat/>
    <w:rsid w:val="0072196D"/>
    <w:pPr>
      <w:numPr>
        <w:ilvl w:val="2"/>
      </w:numPr>
      <w:ind w:left="794" w:hanging="794"/>
    </w:pPr>
  </w:style>
  <w:style w:type="character" w:customStyle="1" w:styleId="ListParagraphChar">
    <w:name w:val="List Paragraph Char"/>
    <w:basedOn w:val="DefaultParagraphFont"/>
    <w:link w:val="ListParagraph"/>
    <w:uiPriority w:val="34"/>
    <w:rsid w:val="00167716"/>
    <w:rPr>
      <w:sz w:val="22"/>
      <w:szCs w:val="22"/>
      <w:lang w:eastAsia="en-US"/>
    </w:rPr>
  </w:style>
  <w:style w:type="paragraph" w:customStyle="1" w:styleId="FinPlanBullet">
    <w:name w:val="Fin Plan Bullet"/>
    <w:basedOn w:val="Normal"/>
    <w:link w:val="FinPlanBulletChar"/>
    <w:qFormat/>
    <w:rsid w:val="00010ECA"/>
    <w:pPr>
      <w:numPr>
        <w:ilvl w:val="2"/>
        <w:numId w:val="3"/>
      </w:numPr>
      <w:autoSpaceDE w:val="0"/>
      <w:autoSpaceDN w:val="0"/>
      <w:adjustRightInd w:val="0"/>
      <w:spacing w:after="120" w:line="240" w:lineRule="auto"/>
      <w:ind w:left="1304" w:hanging="340"/>
    </w:pPr>
    <w:rPr>
      <w:rFonts w:ascii="Arial" w:eastAsia="Times New Roman" w:hAnsi="Arial" w:cs="Arial"/>
      <w:color w:val="000000"/>
      <w:sz w:val="24"/>
      <w:szCs w:val="24"/>
      <w:lang w:eastAsia="en-GB"/>
    </w:rPr>
  </w:style>
  <w:style w:type="character" w:customStyle="1" w:styleId="FinPlanBulletChar">
    <w:name w:val="Fin Plan Bullet Char"/>
    <w:basedOn w:val="DefaultParagraphFont"/>
    <w:link w:val="FinPlanBullet"/>
    <w:rsid w:val="00010ECA"/>
    <w:rPr>
      <w:rFonts w:ascii="Arial" w:eastAsia="Times New Roman" w:hAnsi="Arial" w:cs="Arial"/>
      <w:color w:val="000000"/>
      <w:sz w:val="24"/>
      <w:szCs w:val="24"/>
    </w:rPr>
  </w:style>
  <w:style w:type="character" w:customStyle="1" w:styleId="FinPlanLvl1ParaChar">
    <w:name w:val="Fin Plan Lvl 1 Para Char"/>
    <w:basedOn w:val="DefaultParagraphFont"/>
    <w:link w:val="FinPlanLvl1Para"/>
    <w:rsid w:val="005124FF"/>
    <w:rPr>
      <w:rFonts w:ascii="Arial" w:hAnsi="Arial"/>
      <w:b/>
      <w:sz w:val="24"/>
      <w:szCs w:val="24"/>
      <w:lang w:eastAsia="en-US"/>
    </w:rPr>
  </w:style>
  <w:style w:type="character" w:customStyle="1" w:styleId="Heading2Char">
    <w:name w:val="Heading 2 Char"/>
    <w:basedOn w:val="DefaultParagraphFont"/>
    <w:link w:val="Heading2"/>
    <w:uiPriority w:val="9"/>
    <w:rsid w:val="005A2F8C"/>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9469">
      <w:bodyDiv w:val="1"/>
      <w:marLeft w:val="0"/>
      <w:marRight w:val="0"/>
      <w:marTop w:val="0"/>
      <w:marBottom w:val="0"/>
      <w:divBdr>
        <w:top w:val="none" w:sz="0" w:space="0" w:color="auto"/>
        <w:left w:val="none" w:sz="0" w:space="0" w:color="auto"/>
        <w:bottom w:val="none" w:sz="0" w:space="0" w:color="auto"/>
        <w:right w:val="none" w:sz="0" w:space="0" w:color="auto"/>
      </w:divBdr>
    </w:div>
    <w:div w:id="86775791">
      <w:bodyDiv w:val="1"/>
      <w:marLeft w:val="0"/>
      <w:marRight w:val="0"/>
      <w:marTop w:val="0"/>
      <w:marBottom w:val="0"/>
      <w:divBdr>
        <w:top w:val="none" w:sz="0" w:space="0" w:color="auto"/>
        <w:left w:val="none" w:sz="0" w:space="0" w:color="auto"/>
        <w:bottom w:val="none" w:sz="0" w:space="0" w:color="auto"/>
        <w:right w:val="none" w:sz="0" w:space="0" w:color="auto"/>
      </w:divBdr>
    </w:div>
    <w:div w:id="110782030">
      <w:bodyDiv w:val="1"/>
      <w:marLeft w:val="0"/>
      <w:marRight w:val="0"/>
      <w:marTop w:val="0"/>
      <w:marBottom w:val="0"/>
      <w:divBdr>
        <w:top w:val="none" w:sz="0" w:space="0" w:color="auto"/>
        <w:left w:val="none" w:sz="0" w:space="0" w:color="auto"/>
        <w:bottom w:val="none" w:sz="0" w:space="0" w:color="auto"/>
        <w:right w:val="none" w:sz="0" w:space="0" w:color="auto"/>
      </w:divBdr>
    </w:div>
    <w:div w:id="206113213">
      <w:bodyDiv w:val="1"/>
      <w:marLeft w:val="0"/>
      <w:marRight w:val="0"/>
      <w:marTop w:val="0"/>
      <w:marBottom w:val="0"/>
      <w:divBdr>
        <w:top w:val="none" w:sz="0" w:space="0" w:color="auto"/>
        <w:left w:val="none" w:sz="0" w:space="0" w:color="auto"/>
        <w:bottom w:val="none" w:sz="0" w:space="0" w:color="auto"/>
        <w:right w:val="none" w:sz="0" w:space="0" w:color="auto"/>
      </w:divBdr>
    </w:div>
    <w:div w:id="414859511">
      <w:bodyDiv w:val="1"/>
      <w:marLeft w:val="0"/>
      <w:marRight w:val="0"/>
      <w:marTop w:val="0"/>
      <w:marBottom w:val="0"/>
      <w:divBdr>
        <w:top w:val="none" w:sz="0" w:space="0" w:color="auto"/>
        <w:left w:val="none" w:sz="0" w:space="0" w:color="auto"/>
        <w:bottom w:val="none" w:sz="0" w:space="0" w:color="auto"/>
        <w:right w:val="none" w:sz="0" w:space="0" w:color="auto"/>
      </w:divBdr>
    </w:div>
    <w:div w:id="439643824">
      <w:bodyDiv w:val="1"/>
      <w:marLeft w:val="0"/>
      <w:marRight w:val="0"/>
      <w:marTop w:val="0"/>
      <w:marBottom w:val="0"/>
      <w:divBdr>
        <w:top w:val="none" w:sz="0" w:space="0" w:color="auto"/>
        <w:left w:val="none" w:sz="0" w:space="0" w:color="auto"/>
        <w:bottom w:val="none" w:sz="0" w:space="0" w:color="auto"/>
        <w:right w:val="none" w:sz="0" w:space="0" w:color="auto"/>
      </w:divBdr>
    </w:div>
    <w:div w:id="486937420">
      <w:bodyDiv w:val="1"/>
      <w:marLeft w:val="0"/>
      <w:marRight w:val="0"/>
      <w:marTop w:val="0"/>
      <w:marBottom w:val="0"/>
      <w:divBdr>
        <w:top w:val="none" w:sz="0" w:space="0" w:color="auto"/>
        <w:left w:val="none" w:sz="0" w:space="0" w:color="auto"/>
        <w:bottom w:val="none" w:sz="0" w:space="0" w:color="auto"/>
        <w:right w:val="none" w:sz="0" w:space="0" w:color="auto"/>
      </w:divBdr>
    </w:div>
    <w:div w:id="513303556">
      <w:bodyDiv w:val="1"/>
      <w:marLeft w:val="0"/>
      <w:marRight w:val="0"/>
      <w:marTop w:val="0"/>
      <w:marBottom w:val="0"/>
      <w:divBdr>
        <w:top w:val="none" w:sz="0" w:space="0" w:color="auto"/>
        <w:left w:val="none" w:sz="0" w:space="0" w:color="auto"/>
        <w:bottom w:val="none" w:sz="0" w:space="0" w:color="auto"/>
        <w:right w:val="none" w:sz="0" w:space="0" w:color="auto"/>
      </w:divBdr>
    </w:div>
    <w:div w:id="614555924">
      <w:bodyDiv w:val="1"/>
      <w:marLeft w:val="0"/>
      <w:marRight w:val="0"/>
      <w:marTop w:val="0"/>
      <w:marBottom w:val="0"/>
      <w:divBdr>
        <w:top w:val="none" w:sz="0" w:space="0" w:color="auto"/>
        <w:left w:val="none" w:sz="0" w:space="0" w:color="auto"/>
        <w:bottom w:val="none" w:sz="0" w:space="0" w:color="auto"/>
        <w:right w:val="none" w:sz="0" w:space="0" w:color="auto"/>
      </w:divBdr>
    </w:div>
    <w:div w:id="703866960">
      <w:bodyDiv w:val="1"/>
      <w:marLeft w:val="0"/>
      <w:marRight w:val="0"/>
      <w:marTop w:val="0"/>
      <w:marBottom w:val="0"/>
      <w:divBdr>
        <w:top w:val="none" w:sz="0" w:space="0" w:color="auto"/>
        <w:left w:val="none" w:sz="0" w:space="0" w:color="auto"/>
        <w:bottom w:val="none" w:sz="0" w:space="0" w:color="auto"/>
        <w:right w:val="none" w:sz="0" w:space="0" w:color="auto"/>
      </w:divBdr>
    </w:div>
    <w:div w:id="884101287">
      <w:bodyDiv w:val="1"/>
      <w:marLeft w:val="0"/>
      <w:marRight w:val="0"/>
      <w:marTop w:val="0"/>
      <w:marBottom w:val="0"/>
      <w:divBdr>
        <w:top w:val="none" w:sz="0" w:space="0" w:color="auto"/>
        <w:left w:val="none" w:sz="0" w:space="0" w:color="auto"/>
        <w:bottom w:val="none" w:sz="0" w:space="0" w:color="auto"/>
        <w:right w:val="none" w:sz="0" w:space="0" w:color="auto"/>
      </w:divBdr>
    </w:div>
    <w:div w:id="911743342">
      <w:bodyDiv w:val="1"/>
      <w:marLeft w:val="0"/>
      <w:marRight w:val="0"/>
      <w:marTop w:val="0"/>
      <w:marBottom w:val="0"/>
      <w:divBdr>
        <w:top w:val="none" w:sz="0" w:space="0" w:color="auto"/>
        <w:left w:val="none" w:sz="0" w:space="0" w:color="auto"/>
        <w:bottom w:val="none" w:sz="0" w:space="0" w:color="auto"/>
        <w:right w:val="none" w:sz="0" w:space="0" w:color="auto"/>
      </w:divBdr>
    </w:div>
    <w:div w:id="1080100107">
      <w:bodyDiv w:val="1"/>
      <w:marLeft w:val="0"/>
      <w:marRight w:val="0"/>
      <w:marTop w:val="0"/>
      <w:marBottom w:val="0"/>
      <w:divBdr>
        <w:top w:val="none" w:sz="0" w:space="0" w:color="auto"/>
        <w:left w:val="none" w:sz="0" w:space="0" w:color="auto"/>
        <w:bottom w:val="none" w:sz="0" w:space="0" w:color="auto"/>
        <w:right w:val="none" w:sz="0" w:space="0" w:color="auto"/>
      </w:divBdr>
    </w:div>
    <w:div w:id="1190293460">
      <w:bodyDiv w:val="1"/>
      <w:marLeft w:val="0"/>
      <w:marRight w:val="0"/>
      <w:marTop w:val="0"/>
      <w:marBottom w:val="0"/>
      <w:divBdr>
        <w:top w:val="none" w:sz="0" w:space="0" w:color="auto"/>
        <w:left w:val="none" w:sz="0" w:space="0" w:color="auto"/>
        <w:bottom w:val="none" w:sz="0" w:space="0" w:color="auto"/>
        <w:right w:val="none" w:sz="0" w:space="0" w:color="auto"/>
      </w:divBdr>
    </w:div>
    <w:div w:id="1270359059">
      <w:bodyDiv w:val="1"/>
      <w:marLeft w:val="0"/>
      <w:marRight w:val="0"/>
      <w:marTop w:val="0"/>
      <w:marBottom w:val="0"/>
      <w:divBdr>
        <w:top w:val="none" w:sz="0" w:space="0" w:color="auto"/>
        <w:left w:val="none" w:sz="0" w:space="0" w:color="auto"/>
        <w:bottom w:val="none" w:sz="0" w:space="0" w:color="auto"/>
        <w:right w:val="none" w:sz="0" w:space="0" w:color="auto"/>
      </w:divBdr>
    </w:div>
    <w:div w:id="1482848578">
      <w:bodyDiv w:val="1"/>
      <w:marLeft w:val="0"/>
      <w:marRight w:val="0"/>
      <w:marTop w:val="0"/>
      <w:marBottom w:val="0"/>
      <w:divBdr>
        <w:top w:val="none" w:sz="0" w:space="0" w:color="auto"/>
        <w:left w:val="none" w:sz="0" w:space="0" w:color="auto"/>
        <w:bottom w:val="none" w:sz="0" w:space="0" w:color="auto"/>
        <w:right w:val="none" w:sz="0" w:space="0" w:color="auto"/>
      </w:divBdr>
    </w:div>
    <w:div w:id="1564482633">
      <w:bodyDiv w:val="1"/>
      <w:marLeft w:val="0"/>
      <w:marRight w:val="0"/>
      <w:marTop w:val="0"/>
      <w:marBottom w:val="0"/>
      <w:divBdr>
        <w:top w:val="none" w:sz="0" w:space="0" w:color="auto"/>
        <w:left w:val="none" w:sz="0" w:space="0" w:color="auto"/>
        <w:bottom w:val="none" w:sz="0" w:space="0" w:color="auto"/>
        <w:right w:val="none" w:sz="0" w:space="0" w:color="auto"/>
      </w:divBdr>
    </w:div>
    <w:div w:id="1574656975">
      <w:bodyDiv w:val="1"/>
      <w:marLeft w:val="0"/>
      <w:marRight w:val="0"/>
      <w:marTop w:val="0"/>
      <w:marBottom w:val="0"/>
      <w:divBdr>
        <w:top w:val="none" w:sz="0" w:space="0" w:color="auto"/>
        <w:left w:val="none" w:sz="0" w:space="0" w:color="auto"/>
        <w:bottom w:val="none" w:sz="0" w:space="0" w:color="auto"/>
        <w:right w:val="none" w:sz="0" w:space="0" w:color="auto"/>
      </w:divBdr>
    </w:div>
    <w:div w:id="1640694880">
      <w:bodyDiv w:val="1"/>
      <w:marLeft w:val="0"/>
      <w:marRight w:val="0"/>
      <w:marTop w:val="0"/>
      <w:marBottom w:val="0"/>
      <w:divBdr>
        <w:top w:val="none" w:sz="0" w:space="0" w:color="auto"/>
        <w:left w:val="none" w:sz="0" w:space="0" w:color="auto"/>
        <w:bottom w:val="none" w:sz="0" w:space="0" w:color="auto"/>
        <w:right w:val="none" w:sz="0" w:space="0" w:color="auto"/>
      </w:divBdr>
    </w:div>
    <w:div w:id="1729913588">
      <w:bodyDiv w:val="1"/>
      <w:marLeft w:val="0"/>
      <w:marRight w:val="0"/>
      <w:marTop w:val="0"/>
      <w:marBottom w:val="0"/>
      <w:divBdr>
        <w:top w:val="none" w:sz="0" w:space="0" w:color="auto"/>
        <w:left w:val="none" w:sz="0" w:space="0" w:color="auto"/>
        <w:bottom w:val="none" w:sz="0" w:space="0" w:color="auto"/>
        <w:right w:val="none" w:sz="0" w:space="0" w:color="auto"/>
      </w:divBdr>
    </w:div>
    <w:div w:id="1798992003">
      <w:bodyDiv w:val="1"/>
      <w:marLeft w:val="0"/>
      <w:marRight w:val="0"/>
      <w:marTop w:val="0"/>
      <w:marBottom w:val="0"/>
      <w:divBdr>
        <w:top w:val="none" w:sz="0" w:space="0" w:color="auto"/>
        <w:left w:val="none" w:sz="0" w:space="0" w:color="auto"/>
        <w:bottom w:val="none" w:sz="0" w:space="0" w:color="auto"/>
        <w:right w:val="none" w:sz="0" w:space="0" w:color="auto"/>
      </w:divBdr>
    </w:div>
    <w:div w:id="19194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B86CE-166A-493E-95D7-6D983B09E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1096</Words>
  <Characters>5815</Characters>
  <Application>Microsoft Office Word</Application>
  <DocSecurity>0</DocSecurity>
  <Lines>176</Lines>
  <Paragraphs>68</Paragraphs>
  <ScaleCrop>false</ScaleCrop>
  <HeadingPairs>
    <vt:vector size="2" baseType="variant">
      <vt:variant>
        <vt:lpstr>Title</vt:lpstr>
      </vt:variant>
      <vt:variant>
        <vt:i4>1</vt:i4>
      </vt:variant>
    </vt:vector>
  </HeadingPairs>
  <TitlesOfParts>
    <vt:vector size="1" baseType="lpstr">
      <vt:lpstr> </vt:lpstr>
    </vt:vector>
  </TitlesOfParts>
  <Company>Service Birmingham</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Dedicated Schools Grant Settlement 2023/24</dc:title>
  <dc:subject/>
  <dc:creator>Diane Lewis</dc:creator>
  <cp:keywords/>
  <dc:description/>
  <cp:lastModifiedBy>John M Hunt</cp:lastModifiedBy>
  <cp:revision>12</cp:revision>
  <cp:lastPrinted>2014-04-30T13:04:00Z</cp:lastPrinted>
  <dcterms:created xsi:type="dcterms:W3CDTF">2023-01-11T11:30:00Z</dcterms:created>
  <dcterms:modified xsi:type="dcterms:W3CDTF">2023-04-28T10:04:00Z</dcterms:modified>
</cp:coreProperties>
</file>