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6E85" w14:textId="77777777" w:rsidR="00000000" w:rsidRDefault="00A41D3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041B589" w14:textId="77777777" w:rsidR="00000000" w:rsidRDefault="00A41D35">
      <w:pPr>
        <w:pStyle w:val="BodyText"/>
        <w:kinsoku w:val="0"/>
        <w:overflowPunct w:val="0"/>
        <w:spacing w:after="1"/>
        <w:rPr>
          <w:rFonts w:ascii="Times New Roman" w:hAnsi="Times New Roman" w:cs="Times New Roman"/>
          <w:sz w:val="28"/>
          <w:szCs w:val="28"/>
        </w:rPr>
      </w:pPr>
    </w:p>
    <w:p w14:paraId="23DE4514" w14:textId="7424D01A" w:rsidR="00000000" w:rsidRDefault="00A41D35">
      <w:pPr>
        <w:pStyle w:val="BodyText"/>
        <w:kinsoku w:val="0"/>
        <w:overflowPunct w:val="0"/>
        <w:ind w:left="3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45C1995" wp14:editId="3FB35E32">
            <wp:extent cx="2409825" cy="571500"/>
            <wp:effectExtent l="0" t="0" r="0" b="0"/>
            <wp:docPr id="1" name="Picture 1" descr="Birmingham City Council Logo" title="Birmingham Cit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irmingham City Council Logo" title="Birmingham City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CD0EE" w14:textId="77777777" w:rsidR="00000000" w:rsidRDefault="00A41D3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B80AF0" w14:textId="77777777" w:rsidR="00000000" w:rsidRDefault="00A41D3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6884FCF" w14:textId="77777777" w:rsidR="00000000" w:rsidRDefault="00A41D3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6AA1FF" w14:textId="77777777" w:rsidR="00000000" w:rsidRDefault="00A41D3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3D59FC1" w14:textId="77777777" w:rsidR="00000000" w:rsidRDefault="00A41D3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55EB382" w14:textId="77777777" w:rsidR="00000000" w:rsidRDefault="00A41D3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D1980ED" w14:textId="77777777" w:rsidR="00000000" w:rsidRDefault="00A41D3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6740A38" w14:textId="77777777" w:rsidR="00000000" w:rsidRDefault="00A41D3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CB8E594" w14:textId="77777777" w:rsidR="00000000" w:rsidRDefault="00A41D35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9"/>
          <w:szCs w:val="29"/>
        </w:rPr>
      </w:pPr>
    </w:p>
    <w:p w14:paraId="1C4C3370" w14:textId="77777777" w:rsidR="00000000" w:rsidRDefault="00A41D35">
      <w:pPr>
        <w:pStyle w:val="BodyText"/>
        <w:kinsoku w:val="0"/>
        <w:overflowPunct w:val="0"/>
        <w:spacing w:before="75"/>
        <w:ind w:left="100"/>
      </w:pPr>
      <w:r>
        <w:t>18</w:t>
      </w:r>
      <w:r>
        <w:rPr>
          <w:vertAlign w:val="superscript"/>
        </w:rPr>
        <w:t>th</w:t>
      </w:r>
      <w:r>
        <w:t xml:space="preserve"> April 2023</w:t>
      </w:r>
    </w:p>
    <w:p w14:paraId="325E0CE8" w14:textId="77777777" w:rsidR="00000000" w:rsidRDefault="00A41D35">
      <w:pPr>
        <w:pStyle w:val="BodyText"/>
        <w:kinsoku w:val="0"/>
        <w:overflowPunct w:val="0"/>
        <w:rPr>
          <w:sz w:val="24"/>
          <w:szCs w:val="24"/>
        </w:rPr>
      </w:pPr>
    </w:p>
    <w:p w14:paraId="5D21E31E" w14:textId="77777777" w:rsidR="00000000" w:rsidRPr="00A41D35" w:rsidRDefault="00A41D35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812D0A2" w14:textId="1408B982" w:rsidR="00000000" w:rsidRPr="00A41D35" w:rsidRDefault="00A41D35" w:rsidP="00A41D35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</w:t>
      </w:r>
      <w:r w:rsidRPr="00A41D3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Jewellery Quarter Neighbourhood Development Plan</w:t>
      </w:r>
    </w:p>
    <w:p w14:paraId="04DAD5C9" w14:textId="77777777" w:rsidR="00000000" w:rsidRDefault="00A41D35">
      <w:pPr>
        <w:pStyle w:val="BodyText"/>
        <w:kinsoku w:val="0"/>
        <w:overflowPunct w:val="0"/>
        <w:rPr>
          <w:b/>
          <w:bCs/>
        </w:rPr>
      </w:pPr>
    </w:p>
    <w:p w14:paraId="5A48281B" w14:textId="77777777" w:rsidR="00000000" w:rsidRDefault="00A41D35">
      <w:pPr>
        <w:pStyle w:val="BodyText"/>
        <w:kinsoku w:val="0"/>
        <w:overflowPunct w:val="0"/>
        <w:spacing w:before="1" w:line="276" w:lineRule="auto"/>
        <w:ind w:left="100" w:right="542"/>
      </w:pPr>
      <w:r>
        <w:t>Birmingham City Council is satisfied that, subject to the modifications recommended by the independent examiner being made (and now incorporate</w:t>
      </w:r>
      <w:r>
        <w:t>d in the Referendum version of the Jewellery Quarter Neighbourhood Development Plan), the Jewellery Quarter Neighbourhood Development Plan:</w:t>
      </w:r>
    </w:p>
    <w:p w14:paraId="1D377478" w14:textId="77777777" w:rsidR="00000000" w:rsidRDefault="00A41D35">
      <w:pPr>
        <w:pStyle w:val="BodyText"/>
        <w:kinsoku w:val="0"/>
        <w:overflowPunct w:val="0"/>
        <w:spacing w:before="2"/>
        <w:rPr>
          <w:sz w:val="25"/>
          <w:szCs w:val="25"/>
        </w:rPr>
      </w:pPr>
    </w:p>
    <w:p w14:paraId="737BDF34" w14:textId="77777777" w:rsidR="00000000" w:rsidRDefault="00A41D35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6" w:lineRule="auto"/>
        <w:ind w:right="546"/>
        <w:rPr>
          <w:sz w:val="22"/>
          <w:szCs w:val="22"/>
        </w:rPr>
      </w:pPr>
      <w:r>
        <w:rPr>
          <w:sz w:val="22"/>
          <w:szCs w:val="22"/>
        </w:rPr>
        <w:t>meets the basic conditions set out in paragraph 8 (2) of Schedule 4B to the Town and Country Planning Act 1990;</w:t>
      </w:r>
      <w:r>
        <w:rPr>
          <w:spacing w:val="-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and</w:t>
      </w:r>
      <w:r>
        <w:rPr>
          <w:sz w:val="22"/>
          <w:szCs w:val="22"/>
        </w:rPr>
        <w:t>;</w:t>
      </w:r>
      <w:proofErr w:type="gramEnd"/>
    </w:p>
    <w:p w14:paraId="722ED642" w14:textId="77777777" w:rsidR="00000000" w:rsidRDefault="00A41D35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2" w:line="273" w:lineRule="auto"/>
        <w:rPr>
          <w:sz w:val="22"/>
          <w:szCs w:val="22"/>
        </w:rPr>
      </w:pPr>
      <w:r>
        <w:rPr>
          <w:sz w:val="22"/>
          <w:szCs w:val="22"/>
        </w:rPr>
        <w:t>is not considered to breach or otherwise be incompatible with any EU obligation or any of the Convention rights (within the meaning of the Human Rights Act 1998);</w:t>
      </w:r>
      <w:r>
        <w:rPr>
          <w:spacing w:val="-1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and;</w:t>
      </w:r>
      <w:proofErr w:type="gramEnd"/>
    </w:p>
    <w:p w14:paraId="09DE924C" w14:textId="77777777" w:rsidR="00000000" w:rsidRDefault="00A41D35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5" w:line="276" w:lineRule="auto"/>
        <w:ind w:right="291"/>
        <w:rPr>
          <w:sz w:val="22"/>
          <w:szCs w:val="22"/>
        </w:rPr>
      </w:pPr>
      <w:r>
        <w:rPr>
          <w:sz w:val="22"/>
          <w:szCs w:val="22"/>
        </w:rPr>
        <w:t>complies with the provisions concerning neighbourhood development plans made by or under</w:t>
      </w:r>
      <w:r>
        <w:rPr>
          <w:sz w:val="22"/>
          <w:szCs w:val="22"/>
        </w:rPr>
        <w:t xml:space="preserve"> sections 38A and 38B of the Planning and Compulsory Purchase Act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2004.</w:t>
      </w:r>
    </w:p>
    <w:p w14:paraId="3A9F2BE0" w14:textId="77777777" w:rsidR="00000000" w:rsidRDefault="00A41D35">
      <w:pPr>
        <w:pStyle w:val="BodyText"/>
        <w:kinsoku w:val="0"/>
        <w:overflowPunct w:val="0"/>
        <w:rPr>
          <w:sz w:val="20"/>
          <w:szCs w:val="20"/>
        </w:rPr>
      </w:pPr>
    </w:p>
    <w:p w14:paraId="0763080B" w14:textId="77777777" w:rsidR="00000000" w:rsidRDefault="00A41D35">
      <w:pPr>
        <w:pStyle w:val="BodyText"/>
        <w:kinsoku w:val="0"/>
        <w:overflowPunct w:val="0"/>
        <w:rPr>
          <w:sz w:val="20"/>
          <w:szCs w:val="20"/>
        </w:rPr>
      </w:pPr>
    </w:p>
    <w:p w14:paraId="7D385566" w14:textId="77777777" w:rsidR="00000000" w:rsidRDefault="00A41D35">
      <w:pPr>
        <w:pStyle w:val="BodyText"/>
        <w:kinsoku w:val="0"/>
        <w:overflowPunct w:val="0"/>
        <w:rPr>
          <w:sz w:val="20"/>
          <w:szCs w:val="20"/>
        </w:rPr>
      </w:pPr>
    </w:p>
    <w:p w14:paraId="75312E3A" w14:textId="44E6EBD2" w:rsidR="00000000" w:rsidRDefault="00A41D35">
      <w:pPr>
        <w:pStyle w:val="BodyText"/>
        <w:kinsoku w:val="0"/>
        <w:overflowPunct w:val="0"/>
        <w:spacing w:before="3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C4E3CE5" wp14:editId="7E044D83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1206500" cy="558800"/>
                <wp:effectExtent l="0" t="0" r="0" b="0"/>
                <wp:wrapTopAndBottom/>
                <wp:docPr id="2" name="Rectangle 2" descr="Rebecca Farr signature" title="Rebecca Farr signatur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203D" w14:textId="30F2D490" w:rsidR="00000000" w:rsidRDefault="00A41D3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7F3962" wp14:editId="24DF98BA">
                                  <wp:extent cx="1209675" cy="5524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78B887" w14:textId="77777777" w:rsidR="00000000" w:rsidRDefault="00A41D3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3CE5" id="Rectangle 2" o:spid="_x0000_s1026" alt="Title: Rebecca Farr signature - Description: Rebecca Farr signature" style="position:absolute;margin-left:1in;margin-top:11.3pt;width:95pt;height:4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MyzQEAAIcDAAAOAAAAZHJzL2Uyb0RvYy54bWysU9tu2zAMfR+wfxD0vtgOkCIw4hRFiw4D&#10;ugvQ9QMUWbaF2aJGKrGzrx8lx+kub8NeBIoiD8nDo93tNPTiZJAsuEoWq1wK4zTU1rWVfPn6+G4r&#10;BQXlatWDM5U8G5K3+7dvdqMvzRo66GuDgkEclaOvZBeCL7OMdGcGRSvwxvFjAziowFdssxrVyOhD&#10;n63z/CYbAWuPoA0Rex/mR7lP+E1jdPjcNGSC6CvJvYV0YjoP8cz2O1W2qHxn9aUN9Q9dDMo6LnqF&#10;elBBiSPav6AGqxEImrDSMGTQNFabNANPU+R/TPPcKW/SLEwO+StN9P9g9afTs/+CsXXyT6C/kXBw&#10;3ynXmjtEGDujai5XRKKy0VN5TYgX4lRxGD9CzatVxwCJg6nBIQLydGJKVJ+vVJspCM3OYp3fbHLe&#10;iOa3zWa7ZTuWUOWS7ZHCewODiEYlkVeZ0NXpicIcuoTEYg4ebd+ndfbuNwdjRk/qPjYctUFlmA4T&#10;R0fzAPWZ50CY1cFqZqMD/CHFyMqoJH0/KjRS9B8ccxFltBi4GIfFUE5zaiWDFLN5H2a5HT3atmPk&#10;Io3h4I75amwa5bWLS5+87UTGRZlRTr/eU9Tr/9n/BAAA//8DAFBLAwQUAAYACAAAACEAKPFh6+AA&#10;AAAKAQAADwAAAGRycy9kb3ducmV2LnhtbEyPzU7DMBCE70i8g7VI3KjTtIraEKeq+FE50hapcHPj&#10;JYmw11HsNoGnZ3uC4+yMZr8pVqOz4ox9aD0pmE4SEEiVNy3VCt72z3cLECFqMtp6QgXfGGBVXl8V&#10;Ojd+oC2ed7EWXEIh1wqaGLtcylA16HSY+A6JvU/fOx1Z9rU0vR643FmZJkkmnW6JPzS6w4cGq6/d&#10;ySnYLLr1+4v/GWr79LE5vB6Wj/tlVOr2Zlzfg4g4xr8wXPAZHUpmOvoTmSAs6/mct0QFaZqB4MBs&#10;djkc2ZkmGciykP8nlL8AAAD//wMAUEsBAi0AFAAGAAgAAAAhALaDOJL+AAAA4QEAABMAAAAAAAAA&#10;AAAAAAAAAAAAAFtDb250ZW50X1R5cGVzXS54bWxQSwECLQAUAAYACAAAACEAOP0h/9YAAACUAQAA&#10;CwAAAAAAAAAAAAAAAAAvAQAAX3JlbHMvLnJlbHNQSwECLQAUAAYACAAAACEA9k0DMs0BAACHAwAA&#10;DgAAAAAAAAAAAAAAAAAuAgAAZHJzL2Uyb0RvYy54bWxQSwECLQAUAAYACAAAACEAKPFh6+AAAAAK&#10;AQAADwAAAAAAAAAAAAAAAAAnBAAAZHJzL2Rvd25yZXYueG1sUEsFBgAAAAAEAAQA8wAAADQFAAAA&#10;AA==&#10;" o:allowincell="f" filled="f" stroked="f">
                <v:textbox inset="0,0,0,0">
                  <w:txbxContent>
                    <w:p w14:paraId="6083203D" w14:textId="30F2D490" w:rsidR="00000000" w:rsidRDefault="00A41D35">
                      <w:pPr>
                        <w:widowControl/>
                        <w:autoSpaceDE/>
                        <w:autoSpaceDN/>
                        <w:adjustRightInd/>
                        <w:spacing w:line="8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7F3962" wp14:editId="24DF98BA">
                            <wp:extent cx="1209675" cy="5524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78B887" w14:textId="77777777" w:rsidR="00000000" w:rsidRDefault="00A41D3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AC750CA" w14:textId="77777777" w:rsidR="00000000" w:rsidRDefault="00A41D35">
      <w:pPr>
        <w:pStyle w:val="BodyText"/>
        <w:kinsoku w:val="0"/>
        <w:overflowPunct w:val="0"/>
        <w:spacing w:before="165"/>
        <w:ind w:left="100"/>
      </w:pPr>
      <w:r>
        <w:t>Rebecca Farr</w:t>
      </w:r>
    </w:p>
    <w:p w14:paraId="4B7360F9" w14:textId="77777777" w:rsidR="00000000" w:rsidRDefault="00A41D35">
      <w:pPr>
        <w:pStyle w:val="BodyText"/>
        <w:kinsoku w:val="0"/>
        <w:overflowPunct w:val="0"/>
        <w:spacing w:before="39" w:line="276" w:lineRule="auto"/>
        <w:ind w:left="100" w:right="5965"/>
      </w:pPr>
      <w:r>
        <w:t>Development Planning Manager Birmingham City Council</w:t>
      </w:r>
    </w:p>
    <w:sectPr w:rsidR="00000000">
      <w:type w:val="continuous"/>
      <w:pgSz w:w="11910" w:h="16840"/>
      <w:pgMar w:top="1580" w:right="160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024E" w14:textId="77777777" w:rsidR="00A41D35" w:rsidRDefault="00A41D35" w:rsidP="00A41D35">
      <w:r>
        <w:separator/>
      </w:r>
    </w:p>
  </w:endnote>
  <w:endnote w:type="continuationSeparator" w:id="0">
    <w:p w14:paraId="724D1C25" w14:textId="77777777" w:rsidR="00A41D35" w:rsidRDefault="00A41D35" w:rsidP="00A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0667" w14:textId="77777777" w:rsidR="00A41D35" w:rsidRDefault="00A41D35" w:rsidP="00A41D35">
      <w:r>
        <w:separator/>
      </w:r>
    </w:p>
  </w:footnote>
  <w:footnote w:type="continuationSeparator" w:id="0">
    <w:p w14:paraId="47523F63" w14:textId="77777777" w:rsidR="00A41D35" w:rsidRDefault="00A41D35" w:rsidP="00A4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34" w:hanging="360"/>
      </w:pPr>
    </w:lvl>
    <w:lvl w:ilvl="2">
      <w:numFmt w:val="bullet"/>
      <w:lvlText w:val="•"/>
      <w:lvlJc w:val="left"/>
      <w:pPr>
        <w:ind w:left="2449" w:hanging="360"/>
      </w:pPr>
    </w:lvl>
    <w:lvl w:ilvl="3">
      <w:numFmt w:val="bullet"/>
      <w:lvlText w:val="•"/>
      <w:lvlJc w:val="left"/>
      <w:pPr>
        <w:ind w:left="3263" w:hanging="360"/>
      </w:pPr>
    </w:lvl>
    <w:lvl w:ilvl="4">
      <w:numFmt w:val="bullet"/>
      <w:lvlText w:val="•"/>
      <w:lvlJc w:val="left"/>
      <w:pPr>
        <w:ind w:left="4078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707" w:hanging="360"/>
      </w:pPr>
    </w:lvl>
    <w:lvl w:ilvl="7">
      <w:numFmt w:val="bullet"/>
      <w:lvlText w:val="•"/>
      <w:lvlJc w:val="left"/>
      <w:pPr>
        <w:ind w:left="6522" w:hanging="360"/>
      </w:pPr>
    </w:lvl>
    <w:lvl w:ilvl="8">
      <w:numFmt w:val="bullet"/>
      <w:lvlText w:val="•"/>
      <w:lvlJc w:val="left"/>
      <w:pPr>
        <w:ind w:left="7337" w:hanging="360"/>
      </w:pPr>
    </w:lvl>
  </w:abstractNum>
  <w:num w:numId="1" w16cid:durableId="40877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ZFIib+Mqyls5GSHLp6qSXzJiVaVQcts49/ulxlsfKe/t2OkrSSx35mqMeMwx1GYF"/>
  </w:docVars>
  <w:rsids>
    <w:rsidRoot w:val="00A41D35"/>
    <w:rsid w:val="00A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6BFE2"/>
  <w14:defaultImageDpi w14:val="0"/>
  <w15:docId w15:val="{D7D6A0E2-D148-465C-9642-8F54469E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820" w:right="117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755</Characters>
  <Application>Microsoft Office Word</Application>
  <DocSecurity>0</DocSecurity>
  <Lines>37</Lines>
  <Paragraphs>9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Jewellery Quarter Neighbourhood plan Statement is satisfied NP meets regs</dc:title>
  <dc:subject/>
  <dc:creator>Lawrence Munyuki</dc:creator>
  <cp:keywords/>
  <dc:description/>
  <cp:lastModifiedBy>Nick Tringham</cp:lastModifiedBy>
  <cp:revision>2</cp:revision>
  <dcterms:created xsi:type="dcterms:W3CDTF">2023-04-19T20:32:00Z</dcterms:created>
  <dcterms:modified xsi:type="dcterms:W3CDTF">2023-04-19T20:32:00Z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