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B8D3CFE" w14:textId="77777777" w:rsidR="004753F4" w:rsidRDefault="008544CD" w:rsidP="00FE0F37">
      <w:r>
        <w:object w:dxaOrig="11970" w:dyaOrig="1815" w14:anchorId="41E4B1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irmingham City Council logo" style="width:414pt;height:63pt" o:ole="">
            <v:imagedata r:id="rId11" o:title=""/>
          </v:shape>
          <o:OLEObject Type="Embed" ProgID="Imaging.Document" ShapeID="_x0000_i1025" DrawAspect="Content" ObjectID="_1704013522" r:id="rId12"/>
        </w:object>
      </w:r>
    </w:p>
    <w:p w14:paraId="0469C853" w14:textId="47D688D0" w:rsidR="008544CD" w:rsidRPr="00E10DE8" w:rsidRDefault="00E10DE8" w:rsidP="00E10DE8">
      <w:pPr>
        <w:pStyle w:val="Heading1"/>
        <w:rPr>
          <w:rFonts w:ascii="Arial" w:hAnsi="Arial" w:cs="Arial"/>
          <w:b/>
          <w:bCs/>
          <w:color w:val="auto"/>
          <w:sz w:val="22"/>
          <w:szCs w:val="22"/>
        </w:rPr>
      </w:pPr>
      <w:r w:rsidRPr="00E10DE8">
        <w:rPr>
          <w:rFonts w:ascii="Arial" w:hAnsi="Arial" w:cs="Arial"/>
          <w:b/>
          <w:bCs/>
          <w:color w:val="auto"/>
          <w:sz w:val="22"/>
          <w:szCs w:val="22"/>
        </w:rPr>
        <w:t>Central School Services Block Allocations 2022-23</w:t>
      </w:r>
    </w:p>
    <w:p w14:paraId="6936C8C7" w14:textId="77777777" w:rsidR="008544CD" w:rsidRDefault="008544CD" w:rsidP="008544CD">
      <w:pPr>
        <w:pStyle w:val="NoSpacing"/>
        <w:rPr>
          <w:rFonts w:ascii="Arial" w:hAnsi="Arial" w:cs="Arial"/>
        </w:rPr>
      </w:pPr>
    </w:p>
    <w:p w14:paraId="75C17612" w14:textId="77777777" w:rsidR="008544CD" w:rsidRPr="00B33074" w:rsidRDefault="008544CD" w:rsidP="008544CD">
      <w:pPr>
        <w:pStyle w:val="NoSpacing"/>
        <w:rPr>
          <w:rFonts w:ascii="Arial" w:hAnsi="Arial" w:cs="Arial"/>
          <w:b/>
        </w:rPr>
      </w:pPr>
      <w:r w:rsidRPr="006C52BF">
        <w:rPr>
          <w:rFonts w:cs="Calibri"/>
          <w:b/>
          <w:sz w:val="24"/>
          <w:szCs w:val="24"/>
        </w:rPr>
        <w:t>Report to:</w:t>
      </w:r>
      <w:r w:rsidRPr="006C52BF">
        <w:rPr>
          <w:rFonts w:cs="Calibri"/>
          <w:b/>
          <w:sz w:val="24"/>
          <w:szCs w:val="24"/>
        </w:rPr>
        <w:tab/>
      </w:r>
      <w:r w:rsidR="00F32E4C" w:rsidRPr="00B33074">
        <w:rPr>
          <w:rFonts w:ascii="Arial" w:hAnsi="Arial" w:cs="Arial"/>
          <w:b/>
        </w:rPr>
        <w:t>Schools Forum</w:t>
      </w:r>
      <w:r w:rsidR="003266DB">
        <w:rPr>
          <w:rFonts w:ascii="Arial" w:hAnsi="Arial" w:cs="Arial"/>
          <w:b/>
        </w:rPr>
        <w:t xml:space="preserve"> – Technical Group </w:t>
      </w:r>
    </w:p>
    <w:p w14:paraId="19DB9371" w14:textId="77777777" w:rsidR="00F32E4C" w:rsidRPr="00B33074" w:rsidRDefault="00F32E4C" w:rsidP="008544CD">
      <w:pPr>
        <w:pStyle w:val="NoSpacing"/>
        <w:rPr>
          <w:rFonts w:ascii="Arial" w:hAnsi="Arial" w:cs="Arial"/>
          <w:b/>
        </w:rPr>
      </w:pPr>
    </w:p>
    <w:p w14:paraId="17B4161E" w14:textId="77777777" w:rsidR="008544CD" w:rsidRPr="00B33074" w:rsidRDefault="00EC624D" w:rsidP="008544CD">
      <w:pPr>
        <w:pStyle w:val="NoSpacing"/>
        <w:rPr>
          <w:rFonts w:ascii="Arial" w:hAnsi="Arial" w:cs="Arial"/>
          <w:b/>
        </w:rPr>
      </w:pPr>
      <w:r w:rsidRPr="00B33074">
        <w:rPr>
          <w:rFonts w:ascii="Arial" w:hAnsi="Arial" w:cs="Arial"/>
          <w:b/>
        </w:rPr>
        <w:t>Date:</w:t>
      </w:r>
      <w:r w:rsidRPr="00B33074">
        <w:rPr>
          <w:rFonts w:ascii="Arial" w:hAnsi="Arial" w:cs="Arial"/>
          <w:b/>
        </w:rPr>
        <w:tab/>
      </w:r>
      <w:r w:rsidRPr="00B33074">
        <w:rPr>
          <w:rFonts w:ascii="Arial" w:hAnsi="Arial" w:cs="Arial"/>
          <w:b/>
        </w:rPr>
        <w:tab/>
      </w:r>
      <w:r w:rsidR="00C36A82">
        <w:rPr>
          <w:rFonts w:ascii="Arial" w:hAnsi="Arial" w:cs="Arial"/>
          <w:b/>
        </w:rPr>
        <w:t>20 January 2022</w:t>
      </w:r>
      <w:r w:rsidRPr="00B33074">
        <w:rPr>
          <w:rFonts w:ascii="Arial" w:hAnsi="Arial" w:cs="Arial"/>
          <w:b/>
        </w:rPr>
        <w:tab/>
      </w:r>
    </w:p>
    <w:p w14:paraId="72C13BFC" w14:textId="77777777" w:rsidR="008544CD" w:rsidRPr="00B33074" w:rsidRDefault="008544CD" w:rsidP="008544CD">
      <w:pPr>
        <w:pStyle w:val="NoSpacing"/>
        <w:rPr>
          <w:rFonts w:ascii="Arial" w:hAnsi="Arial" w:cs="Arial"/>
          <w:b/>
        </w:rPr>
      </w:pPr>
    </w:p>
    <w:p w14:paraId="7A273080" w14:textId="77777777" w:rsidR="008544CD" w:rsidRDefault="008544CD" w:rsidP="007E696A">
      <w:pPr>
        <w:pStyle w:val="NoSpacing"/>
        <w:ind w:left="1440" w:hanging="1440"/>
        <w:rPr>
          <w:rFonts w:ascii="Arial" w:hAnsi="Arial" w:cs="Arial"/>
          <w:b/>
        </w:rPr>
      </w:pPr>
      <w:r w:rsidRPr="00B33074">
        <w:rPr>
          <w:rFonts w:ascii="Arial" w:hAnsi="Arial" w:cs="Arial"/>
          <w:b/>
        </w:rPr>
        <w:t>Report of:</w:t>
      </w:r>
      <w:r w:rsidRPr="00B33074">
        <w:rPr>
          <w:rFonts w:ascii="Arial" w:hAnsi="Arial" w:cs="Arial"/>
          <w:b/>
        </w:rPr>
        <w:tab/>
      </w:r>
      <w:r w:rsidR="009F01AD">
        <w:rPr>
          <w:rFonts w:ascii="Arial" w:hAnsi="Arial" w:cs="Arial"/>
          <w:b/>
        </w:rPr>
        <w:t>J</w:t>
      </w:r>
      <w:r w:rsidR="00C36A82">
        <w:rPr>
          <w:rFonts w:ascii="Arial" w:hAnsi="Arial" w:cs="Arial"/>
          <w:b/>
        </w:rPr>
        <w:t>ulie Beattie</w:t>
      </w:r>
      <w:r w:rsidR="009F01AD">
        <w:rPr>
          <w:rFonts w:ascii="Arial" w:hAnsi="Arial" w:cs="Arial"/>
          <w:b/>
        </w:rPr>
        <w:t xml:space="preserve">, </w:t>
      </w:r>
      <w:r w:rsidR="00C36A82">
        <w:rPr>
          <w:rFonts w:ascii="Arial" w:hAnsi="Arial" w:cs="Arial"/>
          <w:b/>
        </w:rPr>
        <w:t>Finance Manager Schools &amp; Fair Funding Team</w:t>
      </w:r>
      <w:r w:rsidR="009F01AD">
        <w:rPr>
          <w:rFonts w:ascii="Arial" w:hAnsi="Arial" w:cs="Arial"/>
          <w:b/>
        </w:rPr>
        <w:t xml:space="preserve"> </w:t>
      </w:r>
    </w:p>
    <w:p w14:paraId="4C7C8560" w14:textId="77777777" w:rsidR="00EA4A73" w:rsidRPr="00B33074" w:rsidRDefault="00EA4A73" w:rsidP="007E696A">
      <w:pPr>
        <w:pStyle w:val="NoSpacing"/>
        <w:ind w:left="1440" w:hanging="1440"/>
        <w:rPr>
          <w:rFonts w:ascii="Arial" w:hAnsi="Arial" w:cs="Arial"/>
          <w:b/>
        </w:rPr>
      </w:pPr>
    </w:p>
    <w:p w14:paraId="60159CD9" w14:textId="77777777" w:rsidR="0061434E" w:rsidRDefault="00EC624D" w:rsidP="008544CD">
      <w:pPr>
        <w:pStyle w:val="NoSpacing"/>
        <w:rPr>
          <w:rFonts w:ascii="Arial" w:hAnsi="Arial" w:cs="Arial"/>
          <w:b/>
        </w:rPr>
      </w:pPr>
      <w:r w:rsidRPr="00B33074">
        <w:rPr>
          <w:rFonts w:ascii="Arial" w:hAnsi="Arial" w:cs="Arial"/>
          <w:b/>
        </w:rPr>
        <w:t>Title:</w:t>
      </w:r>
      <w:r w:rsidRPr="00B33074">
        <w:rPr>
          <w:rFonts w:ascii="Arial" w:hAnsi="Arial" w:cs="Arial"/>
          <w:b/>
        </w:rPr>
        <w:tab/>
      </w:r>
      <w:r w:rsidR="00125521" w:rsidRPr="00B33074">
        <w:rPr>
          <w:rFonts w:ascii="Arial" w:hAnsi="Arial" w:cs="Arial"/>
          <w:b/>
        </w:rPr>
        <w:t xml:space="preserve">          </w:t>
      </w:r>
      <w:r w:rsidR="00C91997" w:rsidRPr="00B33074">
        <w:rPr>
          <w:rFonts w:ascii="Arial" w:hAnsi="Arial" w:cs="Arial"/>
          <w:b/>
        </w:rPr>
        <w:t xml:space="preserve"> </w:t>
      </w:r>
      <w:r w:rsidR="00064120" w:rsidRPr="00B33074">
        <w:rPr>
          <w:rFonts w:ascii="Arial" w:hAnsi="Arial" w:cs="Arial"/>
          <w:b/>
        </w:rPr>
        <w:t>Central School Services Block Allocations 20</w:t>
      </w:r>
      <w:r w:rsidR="00A05F12">
        <w:rPr>
          <w:rFonts w:ascii="Arial" w:hAnsi="Arial" w:cs="Arial"/>
          <w:b/>
        </w:rPr>
        <w:t>2</w:t>
      </w:r>
      <w:r w:rsidR="00C36A82">
        <w:rPr>
          <w:rFonts w:ascii="Arial" w:hAnsi="Arial" w:cs="Arial"/>
          <w:b/>
        </w:rPr>
        <w:t>2</w:t>
      </w:r>
      <w:r w:rsidR="00064120" w:rsidRPr="00B33074">
        <w:rPr>
          <w:rFonts w:ascii="Arial" w:hAnsi="Arial" w:cs="Arial"/>
          <w:b/>
        </w:rPr>
        <w:t>-</w:t>
      </w:r>
      <w:r w:rsidR="00EA4A73">
        <w:rPr>
          <w:rFonts w:ascii="Arial" w:hAnsi="Arial" w:cs="Arial"/>
          <w:b/>
        </w:rPr>
        <w:t>2</w:t>
      </w:r>
      <w:r w:rsidR="00C36A82">
        <w:rPr>
          <w:rFonts w:ascii="Arial" w:hAnsi="Arial" w:cs="Arial"/>
          <w:b/>
        </w:rPr>
        <w:t>3</w:t>
      </w:r>
      <w:r w:rsidR="00064120" w:rsidRPr="00B33074">
        <w:rPr>
          <w:rFonts w:ascii="Arial" w:hAnsi="Arial" w:cs="Arial"/>
          <w:b/>
        </w:rPr>
        <w:t xml:space="preserve"> </w:t>
      </w:r>
    </w:p>
    <w:p w14:paraId="382F1D07" w14:textId="77777777" w:rsidR="0061434E" w:rsidRDefault="0061434E" w:rsidP="008544CD">
      <w:pPr>
        <w:pStyle w:val="NoSpacing"/>
        <w:rPr>
          <w:rFonts w:ascii="Arial" w:hAnsi="Arial" w:cs="Arial"/>
          <w:b/>
        </w:rPr>
      </w:pPr>
    </w:p>
    <w:p w14:paraId="02797A7A" w14:textId="64DC9032" w:rsidR="008544CD" w:rsidRPr="00B33074" w:rsidRDefault="0061434E" w:rsidP="008544CD">
      <w:pPr>
        <w:pStyle w:val="NoSpacing"/>
        <w:rPr>
          <w:rFonts w:ascii="Arial" w:hAnsi="Arial" w:cs="Arial"/>
        </w:rPr>
      </w:pPr>
      <w:r>
        <w:rPr>
          <w:rFonts w:ascii="Arial" w:hAnsi="Arial" w:cs="Arial"/>
          <w:b/>
        </w:rPr>
        <w:t>Status</w:t>
      </w:r>
      <w:r w:rsidR="00AF31D5">
        <w:rPr>
          <w:rFonts w:ascii="Arial" w:hAnsi="Arial" w:cs="Arial"/>
          <w:b/>
        </w:rPr>
        <w:t>:</w:t>
      </w:r>
      <w:r>
        <w:rPr>
          <w:rFonts w:ascii="Arial" w:hAnsi="Arial" w:cs="Arial"/>
          <w:b/>
        </w:rPr>
        <w:tab/>
        <w:t xml:space="preserve">For </w:t>
      </w:r>
      <w:r w:rsidR="009F01AD">
        <w:rPr>
          <w:rFonts w:ascii="Arial" w:hAnsi="Arial" w:cs="Arial"/>
          <w:b/>
        </w:rPr>
        <w:t>Decision</w:t>
      </w:r>
      <w:r w:rsidR="00EC624D" w:rsidRPr="00B33074">
        <w:rPr>
          <w:rFonts w:ascii="Arial" w:hAnsi="Arial" w:cs="Arial"/>
          <w:b/>
        </w:rPr>
        <w:tab/>
      </w:r>
    </w:p>
    <w:p w14:paraId="095C4123" w14:textId="77777777" w:rsidR="008544CD" w:rsidRPr="006C52BF" w:rsidRDefault="008544CD" w:rsidP="008544CD">
      <w:pPr>
        <w:pStyle w:val="NoSpacing"/>
        <w:rPr>
          <w:rFonts w:cs="Calibri"/>
          <w:sz w:val="24"/>
          <w:szCs w:val="24"/>
        </w:rPr>
      </w:pPr>
    </w:p>
    <w:p w14:paraId="333B92A4" w14:textId="77777777" w:rsidR="00F32E4C" w:rsidRPr="006C52BF" w:rsidRDefault="00F32E4C" w:rsidP="00F32E4C">
      <w:pPr>
        <w:pStyle w:val="NoSpacing"/>
        <w:jc w:val="both"/>
        <w:rPr>
          <w:rFonts w:cs="Calibri"/>
          <w:b/>
          <w:sz w:val="24"/>
          <w:szCs w:val="24"/>
        </w:rPr>
      </w:pPr>
    </w:p>
    <w:p w14:paraId="0F756D85" w14:textId="77777777" w:rsidR="00B2542D" w:rsidRPr="00B2542D" w:rsidRDefault="003C5C4E" w:rsidP="00B83102">
      <w:pPr>
        <w:pStyle w:val="NoSpacing"/>
        <w:numPr>
          <w:ilvl w:val="0"/>
          <w:numId w:val="33"/>
        </w:numPr>
        <w:ind w:left="426" w:hanging="426"/>
        <w:rPr>
          <w:rFonts w:ascii="Arial" w:hAnsi="Arial" w:cs="Arial"/>
          <w:b/>
          <w:u w:val="single"/>
        </w:rPr>
      </w:pPr>
      <w:r w:rsidRPr="00B2542D">
        <w:rPr>
          <w:rFonts w:ascii="Arial" w:hAnsi="Arial" w:cs="Arial"/>
          <w:b/>
          <w:u w:val="single"/>
        </w:rPr>
        <w:t>Purpose of the Report</w:t>
      </w:r>
      <w:r w:rsidR="00BF0116" w:rsidRPr="00B2542D">
        <w:rPr>
          <w:rFonts w:ascii="Arial" w:hAnsi="Arial" w:cs="Arial"/>
          <w:b/>
          <w:u w:val="single"/>
        </w:rPr>
        <w:br/>
      </w:r>
    </w:p>
    <w:p w14:paraId="26F74AA4" w14:textId="1230782C" w:rsidR="00B2542D" w:rsidRDefault="00EA4A73" w:rsidP="00B2542D">
      <w:pPr>
        <w:ind w:right="-1039"/>
        <w:rPr>
          <w:rFonts w:ascii="Arial" w:hAnsi="Arial" w:cs="Arial"/>
        </w:rPr>
      </w:pPr>
      <w:r>
        <w:rPr>
          <w:rFonts w:ascii="Arial" w:hAnsi="Arial" w:cs="Arial"/>
        </w:rPr>
        <w:t>T</w:t>
      </w:r>
      <w:r w:rsidR="00B2542D">
        <w:rPr>
          <w:rFonts w:ascii="Arial" w:hAnsi="Arial" w:cs="Arial"/>
        </w:rPr>
        <w:t xml:space="preserve">he Central School Services block (CSSB) </w:t>
      </w:r>
      <w:r>
        <w:rPr>
          <w:rFonts w:ascii="Arial" w:hAnsi="Arial" w:cs="Arial"/>
        </w:rPr>
        <w:t>was established by the DFE in 2018/19 and</w:t>
      </w:r>
      <w:r w:rsidR="00AF31D5">
        <w:rPr>
          <w:rFonts w:ascii="Arial" w:hAnsi="Arial" w:cs="Arial"/>
        </w:rPr>
        <w:t xml:space="preserve"> </w:t>
      </w:r>
      <w:r w:rsidR="00B2542D">
        <w:rPr>
          <w:rFonts w:ascii="Arial" w:hAnsi="Arial" w:cs="Arial"/>
        </w:rPr>
        <w:t>created with the aim of funding LA’s for statutory duties they hold for both maintained schools and academies. It brings together:</w:t>
      </w:r>
    </w:p>
    <w:p w14:paraId="77F74410" w14:textId="687EFD75" w:rsidR="00B2542D" w:rsidRDefault="00B2542D" w:rsidP="00B2542D">
      <w:pPr>
        <w:numPr>
          <w:ilvl w:val="0"/>
          <w:numId w:val="31"/>
        </w:numPr>
        <w:ind w:right="-1039"/>
        <w:rPr>
          <w:rFonts w:ascii="Arial" w:hAnsi="Arial" w:cs="Arial"/>
        </w:rPr>
      </w:pPr>
      <w:r>
        <w:rPr>
          <w:rFonts w:ascii="Arial" w:hAnsi="Arial" w:cs="Arial"/>
        </w:rPr>
        <w:t>Funding for ongoing responsibilities</w:t>
      </w:r>
      <w:r w:rsidR="00AF31D5">
        <w:rPr>
          <w:rFonts w:ascii="Arial" w:hAnsi="Arial" w:cs="Arial"/>
        </w:rPr>
        <w:t>,</w:t>
      </w:r>
      <w:r>
        <w:rPr>
          <w:rFonts w:ascii="Arial" w:hAnsi="Arial" w:cs="Arial"/>
        </w:rPr>
        <w:t xml:space="preserve"> such as admissions</w:t>
      </w:r>
    </w:p>
    <w:p w14:paraId="63FB1122" w14:textId="77777777" w:rsidR="00B2542D" w:rsidRDefault="00B2542D" w:rsidP="00B2542D">
      <w:pPr>
        <w:numPr>
          <w:ilvl w:val="0"/>
          <w:numId w:val="31"/>
        </w:numPr>
        <w:ind w:right="-1039"/>
        <w:rPr>
          <w:rFonts w:ascii="Arial" w:hAnsi="Arial" w:cs="Arial"/>
        </w:rPr>
      </w:pPr>
      <w:r>
        <w:rPr>
          <w:rFonts w:ascii="Arial" w:hAnsi="Arial" w:cs="Arial"/>
        </w:rPr>
        <w:t>Funding previously allocated through the retained duties element of the education services grant (ESG)</w:t>
      </w:r>
    </w:p>
    <w:p w14:paraId="31CD3C90" w14:textId="77777777" w:rsidR="00B2542D" w:rsidRDefault="00B2542D" w:rsidP="00B2542D">
      <w:pPr>
        <w:numPr>
          <w:ilvl w:val="0"/>
          <w:numId w:val="31"/>
        </w:numPr>
        <w:ind w:right="-1039"/>
        <w:rPr>
          <w:rFonts w:ascii="Arial" w:hAnsi="Arial" w:cs="Arial"/>
        </w:rPr>
      </w:pPr>
      <w:r>
        <w:rPr>
          <w:rFonts w:ascii="Arial" w:hAnsi="Arial" w:cs="Arial"/>
        </w:rPr>
        <w:t xml:space="preserve">Residual agreed funding for historic commitments </w:t>
      </w:r>
    </w:p>
    <w:p w14:paraId="299939C7" w14:textId="0BDECA96" w:rsidR="00B2542D" w:rsidRDefault="00B2542D" w:rsidP="005F4807">
      <w:pPr>
        <w:ind w:right="-1180"/>
        <w:rPr>
          <w:rFonts w:ascii="Arial" w:hAnsi="Arial" w:cs="Arial"/>
        </w:rPr>
      </w:pPr>
      <w:r>
        <w:rPr>
          <w:rFonts w:ascii="Arial" w:hAnsi="Arial" w:cs="Arial"/>
        </w:rPr>
        <w:t xml:space="preserve">A breakdown for </w:t>
      </w:r>
      <w:r w:rsidR="009F01AD">
        <w:rPr>
          <w:rFonts w:ascii="Arial" w:hAnsi="Arial" w:cs="Arial"/>
        </w:rPr>
        <w:t xml:space="preserve">the budget for </w:t>
      </w:r>
      <w:r>
        <w:rPr>
          <w:rFonts w:ascii="Arial" w:hAnsi="Arial" w:cs="Arial"/>
        </w:rPr>
        <w:t xml:space="preserve">CSSB </w:t>
      </w:r>
      <w:r w:rsidR="009F01AD">
        <w:rPr>
          <w:rFonts w:ascii="Arial" w:hAnsi="Arial" w:cs="Arial"/>
        </w:rPr>
        <w:t>for 202</w:t>
      </w:r>
      <w:r w:rsidR="00C36A82">
        <w:rPr>
          <w:rFonts w:ascii="Arial" w:hAnsi="Arial" w:cs="Arial"/>
        </w:rPr>
        <w:t>1</w:t>
      </w:r>
      <w:r w:rsidR="009F01AD">
        <w:rPr>
          <w:rFonts w:ascii="Arial" w:hAnsi="Arial" w:cs="Arial"/>
        </w:rPr>
        <w:t>/2</w:t>
      </w:r>
      <w:r w:rsidR="00C36A82">
        <w:rPr>
          <w:rFonts w:ascii="Arial" w:hAnsi="Arial" w:cs="Arial"/>
        </w:rPr>
        <w:t>2</w:t>
      </w:r>
      <w:r w:rsidR="009F01AD">
        <w:rPr>
          <w:rFonts w:ascii="Arial" w:hAnsi="Arial" w:cs="Arial"/>
        </w:rPr>
        <w:t xml:space="preserve"> and the proposal</w:t>
      </w:r>
      <w:r w:rsidR="00444E69">
        <w:rPr>
          <w:rFonts w:ascii="Arial" w:hAnsi="Arial" w:cs="Arial"/>
        </w:rPr>
        <w:t>s</w:t>
      </w:r>
      <w:r w:rsidR="009F01AD">
        <w:rPr>
          <w:rFonts w:ascii="Arial" w:hAnsi="Arial" w:cs="Arial"/>
        </w:rPr>
        <w:t xml:space="preserve"> for 202</w:t>
      </w:r>
      <w:r w:rsidR="00C36A82">
        <w:rPr>
          <w:rFonts w:ascii="Arial" w:hAnsi="Arial" w:cs="Arial"/>
        </w:rPr>
        <w:t>2</w:t>
      </w:r>
      <w:r w:rsidR="009F01AD">
        <w:rPr>
          <w:rFonts w:ascii="Arial" w:hAnsi="Arial" w:cs="Arial"/>
        </w:rPr>
        <w:t>/2</w:t>
      </w:r>
      <w:r w:rsidR="00C36A82">
        <w:rPr>
          <w:rFonts w:ascii="Arial" w:hAnsi="Arial" w:cs="Arial"/>
        </w:rPr>
        <w:t>3</w:t>
      </w:r>
      <w:r w:rsidR="009F01AD">
        <w:rPr>
          <w:rFonts w:ascii="Arial" w:hAnsi="Arial" w:cs="Arial"/>
        </w:rPr>
        <w:t xml:space="preserve"> </w:t>
      </w:r>
      <w:r>
        <w:rPr>
          <w:rFonts w:ascii="Arial" w:hAnsi="Arial" w:cs="Arial"/>
        </w:rPr>
        <w:t xml:space="preserve">is provided in Appendix </w:t>
      </w:r>
      <w:r w:rsidR="005F4807">
        <w:rPr>
          <w:rFonts w:ascii="Arial" w:hAnsi="Arial" w:cs="Arial"/>
        </w:rPr>
        <w:t>1</w:t>
      </w:r>
      <w:r>
        <w:rPr>
          <w:rFonts w:ascii="Arial" w:hAnsi="Arial" w:cs="Arial"/>
        </w:rPr>
        <w:t>. Please note the CSSB does not include funding for any central front</w:t>
      </w:r>
      <w:r w:rsidR="00AF31D5">
        <w:rPr>
          <w:rFonts w:ascii="Arial" w:hAnsi="Arial" w:cs="Arial"/>
        </w:rPr>
        <w:t>-</w:t>
      </w:r>
      <w:r>
        <w:rPr>
          <w:rFonts w:ascii="Arial" w:hAnsi="Arial" w:cs="Arial"/>
        </w:rPr>
        <w:t>line budgets and commitments held in the Early Years and High Needs blocks</w:t>
      </w:r>
      <w:r w:rsidR="00B83102">
        <w:rPr>
          <w:rFonts w:ascii="Arial" w:hAnsi="Arial" w:cs="Arial"/>
        </w:rPr>
        <w:t>.</w:t>
      </w:r>
      <w:r>
        <w:rPr>
          <w:rFonts w:ascii="Arial" w:hAnsi="Arial" w:cs="Arial"/>
        </w:rPr>
        <w:t xml:space="preserve"> </w:t>
      </w:r>
    </w:p>
    <w:p w14:paraId="764A5C7C" w14:textId="141D9E04" w:rsidR="00D94AE3" w:rsidRPr="00D94AE3" w:rsidRDefault="00B2542D" w:rsidP="00A03B11">
      <w:pPr>
        <w:ind w:right="-1180"/>
        <w:rPr>
          <w:rFonts w:ascii="Arial" w:hAnsi="Arial" w:cs="Arial"/>
          <w:b/>
          <w:u w:val="single"/>
        </w:rPr>
      </w:pPr>
      <w:r>
        <w:rPr>
          <w:rFonts w:ascii="Arial" w:hAnsi="Arial" w:cs="Arial"/>
        </w:rPr>
        <w:t>The aim of the CSSB is t</w:t>
      </w:r>
      <w:r w:rsidR="0044212B">
        <w:rPr>
          <w:rFonts w:ascii="Arial" w:hAnsi="Arial" w:cs="Arial"/>
        </w:rPr>
        <w:t>o</w:t>
      </w:r>
      <w:r>
        <w:rPr>
          <w:rFonts w:ascii="Arial" w:hAnsi="Arial" w:cs="Arial"/>
        </w:rPr>
        <w:t xml:space="preserve"> improve transparency and recognise the continued need to use DSG funding (within laid out parameters) to fund centrally managed commitments </w:t>
      </w:r>
      <w:r w:rsidR="00AF31D5">
        <w:rPr>
          <w:rFonts w:ascii="Arial" w:hAnsi="Arial" w:cs="Arial"/>
        </w:rPr>
        <w:t>supporting</w:t>
      </w:r>
      <w:r>
        <w:rPr>
          <w:rFonts w:ascii="Arial" w:hAnsi="Arial" w:cs="Arial"/>
        </w:rPr>
        <w:t xml:space="preserve"> front line and support</w:t>
      </w:r>
      <w:r w:rsidR="0044212B">
        <w:rPr>
          <w:rFonts w:ascii="Arial" w:hAnsi="Arial" w:cs="Arial"/>
        </w:rPr>
        <w:t xml:space="preserve"> service functions.</w:t>
      </w:r>
    </w:p>
    <w:p w14:paraId="1DCAEF0B" w14:textId="77777777" w:rsidR="00D94AE3" w:rsidRDefault="00D94AE3" w:rsidP="00B83102">
      <w:pPr>
        <w:numPr>
          <w:ilvl w:val="0"/>
          <w:numId w:val="33"/>
        </w:numPr>
        <w:ind w:left="426" w:right="-1180" w:hanging="426"/>
        <w:rPr>
          <w:rFonts w:ascii="Arial" w:hAnsi="Arial" w:cs="Arial"/>
        </w:rPr>
      </w:pPr>
      <w:r w:rsidRPr="00D94AE3">
        <w:rPr>
          <w:rFonts w:ascii="Arial" w:hAnsi="Arial" w:cs="Arial"/>
          <w:b/>
          <w:u w:val="single"/>
        </w:rPr>
        <w:t>CSSB Budget 202</w:t>
      </w:r>
      <w:r w:rsidR="00C36A82">
        <w:rPr>
          <w:rFonts w:ascii="Arial" w:hAnsi="Arial" w:cs="Arial"/>
          <w:b/>
          <w:u w:val="single"/>
        </w:rPr>
        <w:t>2</w:t>
      </w:r>
      <w:r w:rsidRPr="00D94AE3">
        <w:rPr>
          <w:rFonts w:ascii="Arial" w:hAnsi="Arial" w:cs="Arial"/>
          <w:b/>
          <w:u w:val="single"/>
        </w:rPr>
        <w:t>/2</w:t>
      </w:r>
      <w:r w:rsidR="00C36A82">
        <w:rPr>
          <w:rFonts w:ascii="Arial" w:hAnsi="Arial" w:cs="Arial"/>
          <w:b/>
          <w:u w:val="single"/>
        </w:rPr>
        <w:t>3</w:t>
      </w:r>
    </w:p>
    <w:p w14:paraId="0D41455A" w14:textId="23FB8548" w:rsidR="00D12A52" w:rsidRDefault="00D94AE3" w:rsidP="009F01AD">
      <w:pPr>
        <w:ind w:right="-1180"/>
        <w:rPr>
          <w:rFonts w:ascii="Arial" w:hAnsi="Arial" w:cs="Arial"/>
        </w:rPr>
      </w:pPr>
      <w:r>
        <w:rPr>
          <w:rFonts w:ascii="Arial" w:hAnsi="Arial" w:cs="Arial"/>
        </w:rPr>
        <w:t>T</w:t>
      </w:r>
      <w:r w:rsidR="0044212B">
        <w:rPr>
          <w:rFonts w:ascii="Arial" w:hAnsi="Arial" w:cs="Arial"/>
        </w:rPr>
        <w:t>he indicative 20</w:t>
      </w:r>
      <w:r w:rsidR="00A05F12">
        <w:rPr>
          <w:rFonts w:ascii="Arial" w:hAnsi="Arial" w:cs="Arial"/>
        </w:rPr>
        <w:t>2</w:t>
      </w:r>
      <w:r w:rsidR="00C36A82">
        <w:rPr>
          <w:rFonts w:ascii="Arial" w:hAnsi="Arial" w:cs="Arial"/>
        </w:rPr>
        <w:t>2</w:t>
      </w:r>
      <w:r w:rsidR="0044212B">
        <w:rPr>
          <w:rFonts w:ascii="Arial" w:hAnsi="Arial" w:cs="Arial"/>
        </w:rPr>
        <w:t>/</w:t>
      </w:r>
      <w:r w:rsidR="00EA4A73">
        <w:rPr>
          <w:rFonts w:ascii="Arial" w:hAnsi="Arial" w:cs="Arial"/>
        </w:rPr>
        <w:t>2</w:t>
      </w:r>
      <w:r w:rsidR="00C36A82">
        <w:rPr>
          <w:rFonts w:ascii="Arial" w:hAnsi="Arial" w:cs="Arial"/>
        </w:rPr>
        <w:t>3</w:t>
      </w:r>
      <w:r w:rsidR="0044212B">
        <w:rPr>
          <w:rFonts w:ascii="Arial" w:hAnsi="Arial" w:cs="Arial"/>
        </w:rPr>
        <w:t xml:space="preserve"> allocation</w:t>
      </w:r>
      <w:r w:rsidR="005D17EA">
        <w:rPr>
          <w:rFonts w:ascii="Arial" w:hAnsi="Arial" w:cs="Arial"/>
        </w:rPr>
        <w:t xml:space="preserve"> (</w:t>
      </w:r>
      <w:r w:rsidR="001725DE">
        <w:rPr>
          <w:rFonts w:ascii="Arial" w:hAnsi="Arial" w:cs="Arial"/>
        </w:rPr>
        <w:t>after discussions with the D</w:t>
      </w:r>
      <w:r w:rsidR="009F01AD">
        <w:rPr>
          <w:rFonts w:ascii="Arial" w:hAnsi="Arial" w:cs="Arial"/>
        </w:rPr>
        <w:t>f</w:t>
      </w:r>
      <w:r w:rsidR="001725DE">
        <w:rPr>
          <w:rFonts w:ascii="Arial" w:hAnsi="Arial" w:cs="Arial"/>
        </w:rPr>
        <w:t>E</w:t>
      </w:r>
      <w:r w:rsidR="005D17EA">
        <w:rPr>
          <w:rFonts w:ascii="Arial" w:hAnsi="Arial" w:cs="Arial"/>
        </w:rPr>
        <w:t>)</w:t>
      </w:r>
      <w:r w:rsidR="001725DE">
        <w:rPr>
          <w:rFonts w:ascii="Arial" w:hAnsi="Arial" w:cs="Arial"/>
        </w:rPr>
        <w:t xml:space="preserve"> </w:t>
      </w:r>
      <w:r w:rsidR="0044212B">
        <w:rPr>
          <w:rFonts w:ascii="Arial" w:hAnsi="Arial" w:cs="Arial"/>
        </w:rPr>
        <w:t xml:space="preserve">for the CSSB is </w:t>
      </w:r>
      <w:r w:rsidR="001725DE">
        <w:rPr>
          <w:rFonts w:ascii="Arial" w:hAnsi="Arial" w:cs="Arial"/>
        </w:rPr>
        <w:t xml:space="preserve">estimated to be </w:t>
      </w:r>
      <w:r w:rsidR="0044212B" w:rsidRPr="00A03B11">
        <w:rPr>
          <w:rFonts w:ascii="Arial" w:hAnsi="Arial" w:cs="Arial"/>
        </w:rPr>
        <w:t>£</w:t>
      </w:r>
      <w:r w:rsidR="00C36A82">
        <w:rPr>
          <w:rFonts w:ascii="Arial" w:hAnsi="Arial" w:cs="Arial"/>
        </w:rPr>
        <w:t>8.303m</w:t>
      </w:r>
      <w:r w:rsidR="0044212B" w:rsidRPr="00A03B11">
        <w:rPr>
          <w:rFonts w:ascii="Arial" w:hAnsi="Arial" w:cs="Arial"/>
        </w:rPr>
        <w:t xml:space="preserve"> – </w:t>
      </w:r>
      <w:r w:rsidR="00A03B11" w:rsidRPr="00A03B11">
        <w:rPr>
          <w:rFonts w:ascii="Arial" w:hAnsi="Arial" w:cs="Arial"/>
        </w:rPr>
        <w:t>a</w:t>
      </w:r>
      <w:r w:rsidR="00C36A82">
        <w:rPr>
          <w:rFonts w:ascii="Arial" w:hAnsi="Arial" w:cs="Arial"/>
        </w:rPr>
        <w:t xml:space="preserve"> reduction of </w:t>
      </w:r>
      <w:r w:rsidR="009F01AD">
        <w:rPr>
          <w:rFonts w:ascii="Arial" w:hAnsi="Arial" w:cs="Arial"/>
        </w:rPr>
        <w:t>£</w:t>
      </w:r>
      <w:r w:rsidR="00C36A82">
        <w:rPr>
          <w:rFonts w:ascii="Arial" w:hAnsi="Arial" w:cs="Arial"/>
        </w:rPr>
        <w:t>9.981</w:t>
      </w:r>
      <w:r w:rsidR="009F01AD">
        <w:rPr>
          <w:rFonts w:ascii="Arial" w:hAnsi="Arial" w:cs="Arial"/>
        </w:rPr>
        <w:t xml:space="preserve">m </w:t>
      </w:r>
      <w:r w:rsidR="0044212B">
        <w:rPr>
          <w:rFonts w:ascii="Arial" w:hAnsi="Arial" w:cs="Arial"/>
        </w:rPr>
        <w:t>from the figure for 20</w:t>
      </w:r>
      <w:r w:rsidR="009F01AD">
        <w:rPr>
          <w:rFonts w:ascii="Arial" w:hAnsi="Arial" w:cs="Arial"/>
        </w:rPr>
        <w:t>2</w:t>
      </w:r>
      <w:r w:rsidR="00C36A82">
        <w:rPr>
          <w:rFonts w:ascii="Arial" w:hAnsi="Arial" w:cs="Arial"/>
        </w:rPr>
        <w:t>1</w:t>
      </w:r>
      <w:r w:rsidR="0044212B">
        <w:rPr>
          <w:rFonts w:ascii="Arial" w:hAnsi="Arial" w:cs="Arial"/>
        </w:rPr>
        <w:t>/</w:t>
      </w:r>
      <w:r w:rsidR="00A05F12">
        <w:rPr>
          <w:rFonts w:ascii="Arial" w:hAnsi="Arial" w:cs="Arial"/>
        </w:rPr>
        <w:t>2</w:t>
      </w:r>
      <w:r w:rsidR="00C36A82">
        <w:rPr>
          <w:rFonts w:ascii="Arial" w:hAnsi="Arial" w:cs="Arial"/>
        </w:rPr>
        <w:t>2</w:t>
      </w:r>
      <w:r w:rsidR="00D23898">
        <w:rPr>
          <w:rFonts w:ascii="Arial" w:hAnsi="Arial" w:cs="Arial"/>
        </w:rPr>
        <w:t xml:space="preserve">. </w:t>
      </w:r>
      <w:r w:rsidR="00A03B11">
        <w:rPr>
          <w:rFonts w:ascii="Arial" w:hAnsi="Arial" w:cs="Arial"/>
        </w:rPr>
        <w:t xml:space="preserve"> </w:t>
      </w:r>
      <w:r w:rsidR="005D17EA">
        <w:rPr>
          <w:rFonts w:ascii="Arial" w:hAnsi="Arial" w:cs="Arial"/>
        </w:rPr>
        <w:t xml:space="preserve">The </w:t>
      </w:r>
      <w:r w:rsidR="009F01AD">
        <w:rPr>
          <w:rFonts w:ascii="Arial" w:hAnsi="Arial" w:cs="Arial"/>
        </w:rPr>
        <w:t xml:space="preserve">DfE has begun </w:t>
      </w:r>
      <w:r w:rsidR="00A03B11" w:rsidRPr="00A03B11">
        <w:rPr>
          <w:rFonts w:ascii="Arial" w:hAnsi="Arial" w:cs="Arial"/>
        </w:rPr>
        <w:t>reduc</w:t>
      </w:r>
      <w:r w:rsidR="009F01AD">
        <w:rPr>
          <w:rFonts w:ascii="Arial" w:hAnsi="Arial" w:cs="Arial"/>
        </w:rPr>
        <w:t>ing</w:t>
      </w:r>
      <w:r w:rsidR="00A03B11" w:rsidRPr="00A03B11">
        <w:rPr>
          <w:rFonts w:ascii="Arial" w:hAnsi="Arial" w:cs="Arial"/>
        </w:rPr>
        <w:t xml:space="preserve"> the element of funding with</w:t>
      </w:r>
      <w:r w:rsidR="005D17EA">
        <w:rPr>
          <w:rFonts w:ascii="Arial" w:hAnsi="Arial" w:cs="Arial"/>
        </w:rPr>
        <w:t>in the</w:t>
      </w:r>
      <w:r w:rsidR="00A03B11" w:rsidRPr="00A03B11">
        <w:rPr>
          <w:rFonts w:ascii="Arial" w:hAnsi="Arial" w:cs="Arial"/>
        </w:rPr>
        <w:t xml:space="preserve"> CSSB that some </w:t>
      </w:r>
      <w:r w:rsidR="005D17EA">
        <w:rPr>
          <w:rFonts w:ascii="Arial" w:hAnsi="Arial" w:cs="Arial"/>
        </w:rPr>
        <w:t>LA’s</w:t>
      </w:r>
      <w:r w:rsidR="00A03B11" w:rsidRPr="00A03B11">
        <w:rPr>
          <w:rFonts w:ascii="Arial" w:hAnsi="Arial" w:cs="Arial"/>
        </w:rPr>
        <w:t xml:space="preserve"> receive for historic commitments made prior to 2013</w:t>
      </w:r>
      <w:r w:rsidR="005D17EA">
        <w:rPr>
          <w:rFonts w:ascii="Arial" w:hAnsi="Arial" w:cs="Arial"/>
        </w:rPr>
        <w:t>/</w:t>
      </w:r>
      <w:r w:rsidR="00A03B11" w:rsidRPr="00A03B11">
        <w:rPr>
          <w:rFonts w:ascii="Arial" w:hAnsi="Arial" w:cs="Arial"/>
        </w:rPr>
        <w:t>14</w:t>
      </w:r>
      <w:r w:rsidR="005D17EA">
        <w:rPr>
          <w:rFonts w:ascii="Arial" w:hAnsi="Arial" w:cs="Arial"/>
        </w:rPr>
        <w:t>.</w:t>
      </w:r>
      <w:r w:rsidR="00AF4F2D">
        <w:rPr>
          <w:rFonts w:ascii="Arial" w:hAnsi="Arial" w:cs="Arial"/>
        </w:rPr>
        <w:t xml:space="preserve"> </w:t>
      </w:r>
      <w:r w:rsidR="005D17EA">
        <w:rPr>
          <w:rFonts w:ascii="Arial" w:hAnsi="Arial" w:cs="Arial"/>
        </w:rPr>
        <w:t>T</w:t>
      </w:r>
      <w:r w:rsidR="00AF4F2D">
        <w:rPr>
          <w:rFonts w:ascii="Arial" w:hAnsi="Arial" w:cs="Arial"/>
        </w:rPr>
        <w:t>his will reduce by 20% each year</w:t>
      </w:r>
      <w:r w:rsidR="00A03B11" w:rsidRPr="00A03B11">
        <w:rPr>
          <w:rFonts w:ascii="Arial" w:hAnsi="Arial" w:cs="Arial"/>
        </w:rPr>
        <w:t xml:space="preserve">. </w:t>
      </w:r>
      <w:r w:rsidR="00A03B11">
        <w:rPr>
          <w:rFonts w:ascii="Arial" w:hAnsi="Arial" w:cs="Arial"/>
        </w:rPr>
        <w:t xml:space="preserve"> D</w:t>
      </w:r>
      <w:r w:rsidR="00FE56A4">
        <w:rPr>
          <w:rFonts w:ascii="Arial" w:hAnsi="Arial" w:cs="Arial"/>
        </w:rPr>
        <w:t>f</w:t>
      </w:r>
      <w:r w:rsidR="00A03B11">
        <w:rPr>
          <w:rFonts w:ascii="Arial" w:hAnsi="Arial" w:cs="Arial"/>
        </w:rPr>
        <w:t xml:space="preserve">E </w:t>
      </w:r>
      <w:r w:rsidR="00A03B11" w:rsidRPr="00A03B11">
        <w:rPr>
          <w:rFonts w:ascii="Arial" w:hAnsi="Arial" w:cs="Arial"/>
        </w:rPr>
        <w:t>do</w:t>
      </w:r>
      <w:r w:rsidR="00FE56A4">
        <w:rPr>
          <w:rFonts w:ascii="Arial" w:hAnsi="Arial" w:cs="Arial"/>
        </w:rPr>
        <w:t>es</w:t>
      </w:r>
      <w:r w:rsidR="00A03B11" w:rsidRPr="00A03B11">
        <w:rPr>
          <w:rFonts w:ascii="Arial" w:hAnsi="Arial" w:cs="Arial"/>
        </w:rPr>
        <w:t xml:space="preserve"> not believe it is fair to maintain significant differences in funding indefinitely between local authorities which reflect historic decisions.</w:t>
      </w:r>
    </w:p>
    <w:p w14:paraId="1C0E44B2" w14:textId="77777777" w:rsidR="00D12A52" w:rsidRDefault="00B86FE2" w:rsidP="009F01AD">
      <w:pPr>
        <w:ind w:right="-1180"/>
        <w:rPr>
          <w:rFonts w:ascii="Arial" w:hAnsi="Arial" w:cs="Arial"/>
        </w:rPr>
      </w:pPr>
      <w:r>
        <w:rPr>
          <w:rFonts w:ascii="Arial" w:hAnsi="Arial" w:cs="Arial"/>
        </w:rPr>
        <w:t>T</w:t>
      </w:r>
      <w:r w:rsidR="00D12A52">
        <w:rPr>
          <w:rFonts w:ascii="Arial" w:hAnsi="Arial" w:cs="Arial"/>
        </w:rPr>
        <w:t>his overall change disguises two important factors, regarding DfE’s overall calculation:</w:t>
      </w:r>
    </w:p>
    <w:p w14:paraId="6A6E2093" w14:textId="219967FF" w:rsidR="00D12A52" w:rsidRDefault="009F01AD" w:rsidP="00D12A52">
      <w:pPr>
        <w:numPr>
          <w:ilvl w:val="0"/>
          <w:numId w:val="40"/>
        </w:numPr>
        <w:ind w:right="-1180"/>
        <w:rPr>
          <w:rFonts w:ascii="Arial" w:hAnsi="Arial" w:cs="Arial"/>
        </w:rPr>
      </w:pPr>
      <w:r>
        <w:rPr>
          <w:rFonts w:ascii="Arial" w:hAnsi="Arial" w:cs="Arial"/>
        </w:rPr>
        <w:lastRenderedPageBreak/>
        <w:t>for 202</w:t>
      </w:r>
      <w:r w:rsidR="00C36A82">
        <w:rPr>
          <w:rFonts w:ascii="Arial" w:hAnsi="Arial" w:cs="Arial"/>
        </w:rPr>
        <w:t>2</w:t>
      </w:r>
      <w:r>
        <w:rPr>
          <w:rFonts w:ascii="Arial" w:hAnsi="Arial" w:cs="Arial"/>
        </w:rPr>
        <w:t>/</w:t>
      </w:r>
      <w:r w:rsidR="00C36A82">
        <w:rPr>
          <w:rFonts w:ascii="Arial" w:hAnsi="Arial" w:cs="Arial"/>
        </w:rPr>
        <w:t>23</w:t>
      </w:r>
      <w:r>
        <w:rPr>
          <w:rFonts w:ascii="Arial" w:hAnsi="Arial" w:cs="Arial"/>
        </w:rPr>
        <w:t xml:space="preserve"> Birmingham Council has lost</w:t>
      </w:r>
      <w:r w:rsidR="00127447">
        <w:rPr>
          <w:rFonts w:ascii="Arial" w:hAnsi="Arial" w:cs="Arial"/>
        </w:rPr>
        <w:t xml:space="preserve"> £10.0m relating to Equal Pay commitment</w:t>
      </w:r>
      <w:r w:rsidR="005D17EA">
        <w:rPr>
          <w:rFonts w:ascii="Arial" w:hAnsi="Arial" w:cs="Arial"/>
        </w:rPr>
        <w:t>s</w:t>
      </w:r>
      <w:r w:rsidR="00E94438">
        <w:rPr>
          <w:rFonts w:ascii="Arial" w:hAnsi="Arial" w:cs="Arial"/>
        </w:rPr>
        <w:t xml:space="preserve">, </w:t>
      </w:r>
      <w:r w:rsidR="00127447">
        <w:rPr>
          <w:rFonts w:ascii="Arial" w:hAnsi="Arial" w:cs="Arial"/>
        </w:rPr>
        <w:t>which ha</w:t>
      </w:r>
      <w:r w:rsidR="005D17EA">
        <w:rPr>
          <w:rFonts w:ascii="Arial" w:hAnsi="Arial" w:cs="Arial"/>
        </w:rPr>
        <w:t>ve</w:t>
      </w:r>
      <w:r w:rsidR="00127447">
        <w:rPr>
          <w:rFonts w:ascii="Arial" w:hAnsi="Arial" w:cs="Arial"/>
        </w:rPr>
        <w:t xml:space="preserve"> now ceased</w:t>
      </w:r>
      <w:r w:rsidR="00E94438">
        <w:rPr>
          <w:rFonts w:ascii="Arial" w:hAnsi="Arial" w:cs="Arial"/>
        </w:rPr>
        <w:t>,</w:t>
      </w:r>
      <w:r w:rsidR="00127447">
        <w:rPr>
          <w:rFonts w:ascii="Arial" w:hAnsi="Arial" w:cs="Arial"/>
        </w:rPr>
        <w:t xml:space="preserve"> </w:t>
      </w:r>
      <w:r w:rsidR="00AF4F2D">
        <w:rPr>
          <w:rFonts w:ascii="Arial" w:hAnsi="Arial" w:cs="Arial"/>
        </w:rPr>
        <w:t>and also lost</w:t>
      </w:r>
      <w:r w:rsidR="00127447">
        <w:rPr>
          <w:rFonts w:ascii="Arial" w:hAnsi="Arial" w:cs="Arial"/>
        </w:rPr>
        <w:t xml:space="preserve"> </w:t>
      </w:r>
      <w:r>
        <w:rPr>
          <w:rFonts w:ascii="Arial" w:hAnsi="Arial" w:cs="Arial"/>
        </w:rPr>
        <w:t xml:space="preserve">20% of its funding for </w:t>
      </w:r>
      <w:r w:rsidR="00127447">
        <w:rPr>
          <w:rFonts w:ascii="Arial" w:hAnsi="Arial" w:cs="Arial"/>
        </w:rPr>
        <w:t>the remaining</w:t>
      </w:r>
      <w:r>
        <w:rPr>
          <w:rFonts w:ascii="Arial" w:hAnsi="Arial" w:cs="Arial"/>
        </w:rPr>
        <w:t xml:space="preserve"> historical commitments</w:t>
      </w:r>
      <w:r w:rsidR="00FE56A4">
        <w:rPr>
          <w:rFonts w:ascii="Arial" w:hAnsi="Arial" w:cs="Arial"/>
        </w:rPr>
        <w:t xml:space="preserve"> </w:t>
      </w:r>
    </w:p>
    <w:p w14:paraId="1DE4A549" w14:textId="77777777" w:rsidR="00C36A82" w:rsidRDefault="009F01AD" w:rsidP="00251C81">
      <w:pPr>
        <w:numPr>
          <w:ilvl w:val="0"/>
          <w:numId w:val="40"/>
        </w:numPr>
        <w:ind w:right="-1180"/>
        <w:rPr>
          <w:rFonts w:ascii="Arial" w:hAnsi="Arial" w:cs="Arial"/>
        </w:rPr>
      </w:pPr>
      <w:r w:rsidRPr="00C36A82">
        <w:rPr>
          <w:rFonts w:ascii="Arial" w:hAnsi="Arial" w:cs="Arial"/>
        </w:rPr>
        <w:t xml:space="preserve">has gained </w:t>
      </w:r>
      <w:r w:rsidR="00A11385">
        <w:rPr>
          <w:rFonts w:ascii="Arial" w:hAnsi="Arial" w:cs="Arial"/>
        </w:rPr>
        <w:t>4.5</w:t>
      </w:r>
      <w:r w:rsidRPr="00C36A82">
        <w:rPr>
          <w:rFonts w:ascii="Arial" w:hAnsi="Arial" w:cs="Arial"/>
        </w:rPr>
        <w:t xml:space="preserve">% for its other responsibilities. </w:t>
      </w:r>
    </w:p>
    <w:p w14:paraId="67A59AFD" w14:textId="77777777" w:rsidR="00FE56A4" w:rsidRPr="00C36A82" w:rsidRDefault="00FE56A4" w:rsidP="00C36A82">
      <w:pPr>
        <w:ind w:left="780" w:right="-1180"/>
        <w:rPr>
          <w:rFonts w:ascii="Arial" w:hAnsi="Arial" w:cs="Arial"/>
        </w:rPr>
      </w:pPr>
      <w:r w:rsidRPr="00C36A82">
        <w:rPr>
          <w:rFonts w:ascii="Arial" w:hAnsi="Arial" w:cs="Arial"/>
        </w:rPr>
        <w:t>Therefore, funding for 202</w:t>
      </w:r>
      <w:r w:rsidR="00C36A82">
        <w:rPr>
          <w:rFonts w:ascii="Arial" w:hAnsi="Arial" w:cs="Arial"/>
        </w:rPr>
        <w:t>2</w:t>
      </w:r>
      <w:r w:rsidRPr="00C36A82">
        <w:rPr>
          <w:rFonts w:ascii="Arial" w:hAnsi="Arial" w:cs="Arial"/>
        </w:rPr>
        <w:t>/2</w:t>
      </w:r>
      <w:r w:rsidR="00C36A82">
        <w:rPr>
          <w:rFonts w:ascii="Arial" w:hAnsi="Arial" w:cs="Arial"/>
        </w:rPr>
        <w:t>3</w:t>
      </w:r>
      <w:r w:rsidRPr="00C36A82">
        <w:rPr>
          <w:rFonts w:ascii="Arial" w:hAnsi="Arial" w:cs="Arial"/>
        </w:rPr>
        <w:t xml:space="preserve"> has been calculated by DfE as follows:</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CSSB Budget 2022/23 - DfE Calculation"/>
      </w:tblPr>
      <w:tblGrid>
        <w:gridCol w:w="392"/>
        <w:gridCol w:w="5415"/>
        <w:gridCol w:w="1134"/>
        <w:gridCol w:w="2947"/>
      </w:tblGrid>
      <w:tr w:rsidR="00D177B1" w:rsidRPr="003E148A" w14:paraId="0F59119A" w14:textId="77777777" w:rsidTr="00A95F26">
        <w:trPr>
          <w:tblHeader/>
        </w:trPr>
        <w:tc>
          <w:tcPr>
            <w:tcW w:w="392" w:type="dxa"/>
            <w:shd w:val="clear" w:color="auto" w:fill="auto"/>
          </w:tcPr>
          <w:p w14:paraId="5737C1F6" w14:textId="77777777" w:rsidR="00D177B1" w:rsidRDefault="00D177B1" w:rsidP="003E148A">
            <w:pPr>
              <w:ind w:right="-1180"/>
              <w:rPr>
                <w:rFonts w:ascii="Arial" w:hAnsi="Arial" w:cs="Arial"/>
              </w:rPr>
            </w:pPr>
          </w:p>
        </w:tc>
        <w:tc>
          <w:tcPr>
            <w:tcW w:w="5415" w:type="dxa"/>
            <w:shd w:val="clear" w:color="auto" w:fill="auto"/>
          </w:tcPr>
          <w:p w14:paraId="1118E358" w14:textId="77777777" w:rsidR="00D177B1" w:rsidRPr="003E148A" w:rsidRDefault="00D177B1" w:rsidP="003E148A">
            <w:pPr>
              <w:ind w:right="-1180"/>
              <w:rPr>
                <w:rFonts w:ascii="Arial" w:hAnsi="Arial" w:cs="Arial"/>
              </w:rPr>
            </w:pPr>
          </w:p>
        </w:tc>
        <w:tc>
          <w:tcPr>
            <w:tcW w:w="1134" w:type="dxa"/>
            <w:shd w:val="clear" w:color="auto" w:fill="auto"/>
          </w:tcPr>
          <w:p w14:paraId="02D66CCE" w14:textId="77777777" w:rsidR="00D177B1" w:rsidRPr="003E148A" w:rsidRDefault="00D177B1" w:rsidP="00D177B1">
            <w:pPr>
              <w:ind w:right="-43"/>
              <w:jc w:val="center"/>
              <w:rPr>
                <w:rFonts w:ascii="Arial" w:hAnsi="Arial" w:cs="Arial"/>
              </w:rPr>
            </w:pPr>
            <w:r>
              <w:rPr>
                <w:rFonts w:ascii="Arial" w:hAnsi="Arial" w:cs="Arial"/>
              </w:rPr>
              <w:t>£m</w:t>
            </w:r>
          </w:p>
        </w:tc>
        <w:tc>
          <w:tcPr>
            <w:tcW w:w="2947" w:type="dxa"/>
            <w:shd w:val="clear" w:color="auto" w:fill="auto"/>
          </w:tcPr>
          <w:p w14:paraId="7718D966" w14:textId="77777777" w:rsidR="00D177B1" w:rsidRPr="003E148A" w:rsidRDefault="00D177B1" w:rsidP="003E148A">
            <w:pPr>
              <w:tabs>
                <w:tab w:val="left" w:pos="2724"/>
                <w:tab w:val="left" w:pos="3152"/>
              </w:tabs>
              <w:ind w:right="175"/>
              <w:rPr>
                <w:rFonts w:ascii="Arial" w:hAnsi="Arial" w:cs="Arial"/>
                <w:sz w:val="18"/>
                <w:szCs w:val="18"/>
              </w:rPr>
            </w:pPr>
          </w:p>
        </w:tc>
      </w:tr>
      <w:tr w:rsidR="003676E3" w:rsidRPr="003E148A" w14:paraId="05F26292" w14:textId="77777777" w:rsidTr="00910C75">
        <w:tc>
          <w:tcPr>
            <w:tcW w:w="392" w:type="dxa"/>
            <w:shd w:val="clear" w:color="auto" w:fill="auto"/>
          </w:tcPr>
          <w:p w14:paraId="6704E895" w14:textId="77777777" w:rsidR="001729E3" w:rsidRPr="003E148A" w:rsidRDefault="003676E3" w:rsidP="003E148A">
            <w:pPr>
              <w:ind w:right="-1180"/>
              <w:rPr>
                <w:rFonts w:ascii="Arial" w:hAnsi="Arial" w:cs="Arial"/>
              </w:rPr>
            </w:pPr>
            <w:r>
              <w:rPr>
                <w:rFonts w:ascii="Arial" w:hAnsi="Arial" w:cs="Arial"/>
              </w:rPr>
              <w:t>A</w:t>
            </w:r>
          </w:p>
        </w:tc>
        <w:tc>
          <w:tcPr>
            <w:tcW w:w="5415" w:type="dxa"/>
            <w:shd w:val="clear" w:color="auto" w:fill="auto"/>
          </w:tcPr>
          <w:p w14:paraId="425B7957" w14:textId="77777777" w:rsidR="001729E3" w:rsidRPr="003E148A" w:rsidRDefault="001729E3" w:rsidP="003E148A">
            <w:pPr>
              <w:ind w:right="-1180"/>
              <w:rPr>
                <w:rFonts w:ascii="Arial" w:hAnsi="Arial" w:cs="Arial"/>
              </w:rPr>
            </w:pPr>
            <w:r w:rsidRPr="003E148A">
              <w:rPr>
                <w:rFonts w:ascii="Arial" w:hAnsi="Arial" w:cs="Arial"/>
              </w:rPr>
              <w:t>202</w:t>
            </w:r>
            <w:r w:rsidR="00C36A82">
              <w:rPr>
                <w:rFonts w:ascii="Arial" w:hAnsi="Arial" w:cs="Arial"/>
              </w:rPr>
              <w:t>1</w:t>
            </w:r>
            <w:r w:rsidRPr="003E148A">
              <w:rPr>
                <w:rFonts w:ascii="Arial" w:hAnsi="Arial" w:cs="Arial"/>
              </w:rPr>
              <w:t>-2</w:t>
            </w:r>
            <w:r w:rsidR="00C36A82">
              <w:rPr>
                <w:rFonts w:ascii="Arial" w:hAnsi="Arial" w:cs="Arial"/>
              </w:rPr>
              <w:t>2</w:t>
            </w:r>
            <w:r w:rsidRPr="003E148A">
              <w:rPr>
                <w:rFonts w:ascii="Arial" w:hAnsi="Arial" w:cs="Arial"/>
              </w:rPr>
              <w:t xml:space="preserve"> baseline for historic commitments</w:t>
            </w:r>
          </w:p>
        </w:tc>
        <w:tc>
          <w:tcPr>
            <w:tcW w:w="1134" w:type="dxa"/>
            <w:shd w:val="clear" w:color="auto" w:fill="auto"/>
          </w:tcPr>
          <w:p w14:paraId="4A4AD6F2" w14:textId="77777777" w:rsidR="001729E3" w:rsidRPr="003E148A" w:rsidRDefault="001729E3" w:rsidP="003E148A">
            <w:pPr>
              <w:ind w:right="-43"/>
              <w:jc w:val="right"/>
              <w:rPr>
                <w:rFonts w:ascii="Arial" w:hAnsi="Arial" w:cs="Arial"/>
              </w:rPr>
            </w:pPr>
            <w:r w:rsidRPr="003E148A">
              <w:rPr>
                <w:rFonts w:ascii="Arial" w:hAnsi="Arial" w:cs="Arial"/>
              </w:rPr>
              <w:t>11</w:t>
            </w:r>
            <w:r w:rsidR="00D177B1">
              <w:rPr>
                <w:rFonts w:ascii="Arial" w:hAnsi="Arial" w:cs="Arial"/>
              </w:rPr>
              <w:t>.</w:t>
            </w:r>
            <w:r w:rsidR="00C36A82">
              <w:rPr>
                <w:rFonts w:ascii="Arial" w:hAnsi="Arial" w:cs="Arial"/>
              </w:rPr>
              <w:t>441</w:t>
            </w:r>
          </w:p>
        </w:tc>
        <w:tc>
          <w:tcPr>
            <w:tcW w:w="2947" w:type="dxa"/>
            <w:shd w:val="clear" w:color="auto" w:fill="auto"/>
          </w:tcPr>
          <w:p w14:paraId="3424E1AC" w14:textId="77777777" w:rsidR="001729E3" w:rsidRPr="003E148A" w:rsidRDefault="001729E3" w:rsidP="003E148A">
            <w:pPr>
              <w:tabs>
                <w:tab w:val="left" w:pos="2724"/>
                <w:tab w:val="left" w:pos="3152"/>
              </w:tabs>
              <w:ind w:right="175"/>
              <w:rPr>
                <w:rFonts w:ascii="Arial" w:hAnsi="Arial" w:cs="Arial"/>
                <w:sz w:val="18"/>
                <w:szCs w:val="18"/>
              </w:rPr>
            </w:pPr>
            <w:r w:rsidRPr="003E148A">
              <w:rPr>
                <w:rFonts w:ascii="Arial" w:hAnsi="Arial" w:cs="Arial"/>
                <w:sz w:val="18"/>
                <w:szCs w:val="18"/>
              </w:rPr>
              <w:t>This shows the current year LA allocation for historic commitments.</w:t>
            </w:r>
          </w:p>
        </w:tc>
      </w:tr>
      <w:tr w:rsidR="00127447" w:rsidRPr="003E148A" w14:paraId="28A59A4D" w14:textId="77777777" w:rsidTr="00910C75">
        <w:tc>
          <w:tcPr>
            <w:tcW w:w="392" w:type="dxa"/>
            <w:tcBorders>
              <w:top w:val="single" w:sz="4" w:space="0" w:color="auto"/>
              <w:left w:val="single" w:sz="4" w:space="0" w:color="auto"/>
              <w:bottom w:val="single" w:sz="4" w:space="0" w:color="auto"/>
              <w:right w:val="single" w:sz="4" w:space="0" w:color="auto"/>
            </w:tcBorders>
            <w:shd w:val="clear" w:color="auto" w:fill="auto"/>
          </w:tcPr>
          <w:p w14:paraId="3EBC41C6" w14:textId="77777777" w:rsidR="00127447" w:rsidRPr="003E148A" w:rsidRDefault="00127447" w:rsidP="00795A04">
            <w:pPr>
              <w:ind w:right="-1180"/>
              <w:rPr>
                <w:rFonts w:ascii="Arial" w:hAnsi="Arial" w:cs="Arial"/>
              </w:rPr>
            </w:pPr>
            <w:r>
              <w:rPr>
                <w:rFonts w:ascii="Arial" w:hAnsi="Arial" w:cs="Arial"/>
              </w:rPr>
              <w:t>B</w:t>
            </w:r>
          </w:p>
        </w:tc>
        <w:tc>
          <w:tcPr>
            <w:tcW w:w="5415" w:type="dxa"/>
            <w:tcBorders>
              <w:top w:val="single" w:sz="4" w:space="0" w:color="auto"/>
              <w:left w:val="single" w:sz="4" w:space="0" w:color="auto"/>
              <w:bottom w:val="single" w:sz="4" w:space="0" w:color="auto"/>
              <w:right w:val="single" w:sz="4" w:space="0" w:color="auto"/>
            </w:tcBorders>
            <w:shd w:val="clear" w:color="auto" w:fill="auto"/>
          </w:tcPr>
          <w:p w14:paraId="57340E63" w14:textId="77777777" w:rsidR="00127447" w:rsidRPr="003E148A" w:rsidRDefault="00127447" w:rsidP="00795A04">
            <w:pPr>
              <w:ind w:right="-1180"/>
              <w:rPr>
                <w:rFonts w:ascii="Arial" w:hAnsi="Arial" w:cs="Arial"/>
              </w:rPr>
            </w:pPr>
            <w:r>
              <w:rPr>
                <w:rFonts w:ascii="Arial" w:hAnsi="Arial" w:cs="Arial"/>
              </w:rPr>
              <w:t xml:space="preserve">Reduction for </w:t>
            </w:r>
            <w:r w:rsidRPr="003E148A">
              <w:rPr>
                <w:rFonts w:ascii="Arial" w:hAnsi="Arial" w:cs="Arial"/>
              </w:rPr>
              <w:t xml:space="preserve">equal pay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18D46B" w14:textId="77777777" w:rsidR="00127447" w:rsidRPr="003E148A" w:rsidRDefault="00127447" w:rsidP="00795A04">
            <w:pPr>
              <w:ind w:right="-43"/>
              <w:jc w:val="right"/>
              <w:rPr>
                <w:rFonts w:ascii="Arial" w:hAnsi="Arial" w:cs="Arial"/>
              </w:rPr>
            </w:pPr>
            <w:r>
              <w:rPr>
                <w:rFonts w:ascii="Arial" w:hAnsi="Arial" w:cs="Arial"/>
              </w:rPr>
              <w:t>(10.000)</w:t>
            </w:r>
          </w:p>
        </w:tc>
        <w:tc>
          <w:tcPr>
            <w:tcW w:w="2947" w:type="dxa"/>
            <w:tcBorders>
              <w:top w:val="single" w:sz="4" w:space="0" w:color="auto"/>
              <w:left w:val="single" w:sz="4" w:space="0" w:color="auto"/>
              <w:bottom w:val="single" w:sz="4" w:space="0" w:color="auto"/>
              <w:right w:val="single" w:sz="4" w:space="0" w:color="auto"/>
            </w:tcBorders>
            <w:shd w:val="clear" w:color="auto" w:fill="auto"/>
          </w:tcPr>
          <w:p w14:paraId="6A99C849" w14:textId="77777777" w:rsidR="00127447" w:rsidRPr="003E148A" w:rsidRDefault="00127447" w:rsidP="00795A04">
            <w:pPr>
              <w:tabs>
                <w:tab w:val="left" w:pos="2724"/>
                <w:tab w:val="left" w:pos="3152"/>
              </w:tabs>
              <w:ind w:right="175"/>
              <w:rPr>
                <w:rFonts w:ascii="Arial" w:hAnsi="Arial" w:cs="Arial"/>
                <w:sz w:val="18"/>
                <w:szCs w:val="18"/>
              </w:rPr>
            </w:pPr>
            <w:r w:rsidRPr="003E148A">
              <w:rPr>
                <w:rFonts w:ascii="Arial" w:hAnsi="Arial" w:cs="Arial"/>
                <w:sz w:val="18"/>
                <w:szCs w:val="18"/>
              </w:rPr>
              <w:t xml:space="preserve">This </w:t>
            </w:r>
            <w:r>
              <w:rPr>
                <w:rFonts w:ascii="Arial" w:hAnsi="Arial" w:cs="Arial"/>
                <w:sz w:val="18"/>
                <w:szCs w:val="18"/>
              </w:rPr>
              <w:t>is the £10m fall out of equal pay</w:t>
            </w:r>
          </w:p>
        </w:tc>
      </w:tr>
      <w:tr w:rsidR="00127447" w:rsidRPr="003E148A" w14:paraId="331C617C" w14:textId="77777777" w:rsidTr="00910C75">
        <w:tc>
          <w:tcPr>
            <w:tcW w:w="392" w:type="dxa"/>
            <w:shd w:val="clear" w:color="auto" w:fill="auto"/>
          </w:tcPr>
          <w:p w14:paraId="741D372A" w14:textId="77777777" w:rsidR="00127447" w:rsidRPr="003E148A" w:rsidRDefault="00127447" w:rsidP="00127447">
            <w:pPr>
              <w:ind w:right="-1180"/>
              <w:rPr>
                <w:rFonts w:ascii="Arial" w:hAnsi="Arial" w:cs="Arial"/>
              </w:rPr>
            </w:pPr>
            <w:r>
              <w:rPr>
                <w:rFonts w:ascii="Arial" w:hAnsi="Arial" w:cs="Arial"/>
              </w:rPr>
              <w:t>B</w:t>
            </w:r>
          </w:p>
        </w:tc>
        <w:tc>
          <w:tcPr>
            <w:tcW w:w="5415" w:type="dxa"/>
            <w:shd w:val="clear" w:color="auto" w:fill="auto"/>
          </w:tcPr>
          <w:p w14:paraId="1FDA3322" w14:textId="77777777" w:rsidR="00127447" w:rsidRPr="003E148A" w:rsidRDefault="00127447" w:rsidP="00127447">
            <w:pPr>
              <w:ind w:right="-1180"/>
              <w:rPr>
                <w:rFonts w:ascii="Arial" w:hAnsi="Arial" w:cs="Arial"/>
              </w:rPr>
            </w:pPr>
            <w:r>
              <w:rPr>
                <w:rFonts w:ascii="Arial" w:hAnsi="Arial" w:cs="Arial"/>
              </w:rPr>
              <w:t>20% reduction for historic commitments</w:t>
            </w:r>
          </w:p>
        </w:tc>
        <w:tc>
          <w:tcPr>
            <w:tcW w:w="1134" w:type="dxa"/>
            <w:shd w:val="clear" w:color="auto" w:fill="auto"/>
          </w:tcPr>
          <w:p w14:paraId="10E84FFC" w14:textId="77777777" w:rsidR="00127447" w:rsidRPr="003E148A" w:rsidRDefault="00127447" w:rsidP="00127447">
            <w:pPr>
              <w:ind w:right="-43"/>
              <w:jc w:val="right"/>
              <w:rPr>
                <w:rFonts w:ascii="Arial" w:hAnsi="Arial" w:cs="Arial"/>
              </w:rPr>
            </w:pPr>
            <w:r>
              <w:rPr>
                <w:rFonts w:ascii="Arial" w:hAnsi="Arial" w:cs="Arial"/>
              </w:rPr>
              <w:t>(0.288)</w:t>
            </w:r>
          </w:p>
        </w:tc>
        <w:tc>
          <w:tcPr>
            <w:tcW w:w="2947" w:type="dxa"/>
            <w:shd w:val="clear" w:color="auto" w:fill="auto"/>
          </w:tcPr>
          <w:p w14:paraId="3B51259A" w14:textId="77777777" w:rsidR="00127447" w:rsidRPr="003E148A" w:rsidRDefault="00127447" w:rsidP="00127447">
            <w:pPr>
              <w:tabs>
                <w:tab w:val="left" w:pos="2724"/>
                <w:tab w:val="left" w:pos="3152"/>
              </w:tabs>
              <w:ind w:right="175"/>
              <w:rPr>
                <w:rFonts w:ascii="Arial" w:hAnsi="Arial" w:cs="Arial"/>
                <w:sz w:val="18"/>
                <w:szCs w:val="18"/>
              </w:rPr>
            </w:pPr>
            <w:r>
              <w:rPr>
                <w:rFonts w:ascii="Arial" w:hAnsi="Arial" w:cs="Arial"/>
                <w:sz w:val="18"/>
                <w:szCs w:val="18"/>
              </w:rPr>
              <w:t>This is a 20% reduction of the historic commitments after removing the equal pay.</w:t>
            </w:r>
          </w:p>
        </w:tc>
      </w:tr>
      <w:tr w:rsidR="00127447" w:rsidRPr="003E148A" w14:paraId="283AB9B9" w14:textId="77777777" w:rsidTr="00910C75">
        <w:tc>
          <w:tcPr>
            <w:tcW w:w="392" w:type="dxa"/>
            <w:shd w:val="clear" w:color="auto" w:fill="auto"/>
          </w:tcPr>
          <w:p w14:paraId="62D49209" w14:textId="77777777" w:rsidR="00127447" w:rsidRPr="003676E3" w:rsidRDefault="00127447" w:rsidP="00127447">
            <w:pPr>
              <w:ind w:right="-1180"/>
              <w:rPr>
                <w:rFonts w:ascii="Arial" w:hAnsi="Arial" w:cs="Arial"/>
                <w:b/>
              </w:rPr>
            </w:pPr>
            <w:r w:rsidRPr="003676E3">
              <w:rPr>
                <w:rFonts w:ascii="Arial" w:hAnsi="Arial" w:cs="Arial"/>
                <w:b/>
              </w:rPr>
              <w:t>D</w:t>
            </w:r>
          </w:p>
        </w:tc>
        <w:tc>
          <w:tcPr>
            <w:tcW w:w="5415" w:type="dxa"/>
            <w:shd w:val="clear" w:color="auto" w:fill="auto"/>
          </w:tcPr>
          <w:p w14:paraId="0FF341C2" w14:textId="77777777" w:rsidR="00127447" w:rsidRPr="003676E3" w:rsidRDefault="00127447" w:rsidP="00127447">
            <w:pPr>
              <w:ind w:right="-1180"/>
              <w:rPr>
                <w:rFonts w:ascii="Arial" w:hAnsi="Arial" w:cs="Arial"/>
                <w:b/>
              </w:rPr>
            </w:pPr>
            <w:r w:rsidRPr="003676E3">
              <w:rPr>
                <w:rFonts w:ascii="Arial" w:hAnsi="Arial" w:cs="Arial"/>
                <w:b/>
              </w:rPr>
              <w:t>2022-23 total funding for historic commitments</w:t>
            </w:r>
          </w:p>
        </w:tc>
        <w:tc>
          <w:tcPr>
            <w:tcW w:w="1134" w:type="dxa"/>
            <w:shd w:val="clear" w:color="auto" w:fill="auto"/>
          </w:tcPr>
          <w:p w14:paraId="022E64D4" w14:textId="77777777" w:rsidR="00127447" w:rsidRPr="003676E3" w:rsidRDefault="00127447" w:rsidP="00127447">
            <w:pPr>
              <w:ind w:right="-43"/>
              <w:jc w:val="right"/>
              <w:rPr>
                <w:rFonts w:ascii="Arial" w:hAnsi="Arial" w:cs="Arial"/>
                <w:b/>
              </w:rPr>
            </w:pPr>
            <w:r w:rsidRPr="003676E3">
              <w:rPr>
                <w:rFonts w:ascii="Arial" w:hAnsi="Arial" w:cs="Arial"/>
                <w:b/>
              </w:rPr>
              <w:t>1</w:t>
            </w:r>
            <w:r>
              <w:rPr>
                <w:rFonts w:ascii="Arial" w:hAnsi="Arial" w:cs="Arial"/>
                <w:b/>
              </w:rPr>
              <w:t>.</w:t>
            </w:r>
            <w:r w:rsidRPr="003676E3">
              <w:rPr>
                <w:rFonts w:ascii="Arial" w:hAnsi="Arial" w:cs="Arial"/>
                <w:b/>
              </w:rPr>
              <w:t>153</w:t>
            </w:r>
          </w:p>
        </w:tc>
        <w:tc>
          <w:tcPr>
            <w:tcW w:w="2947" w:type="dxa"/>
            <w:shd w:val="clear" w:color="auto" w:fill="auto"/>
          </w:tcPr>
          <w:p w14:paraId="48DED914" w14:textId="77777777" w:rsidR="00127447" w:rsidRPr="003676E3" w:rsidRDefault="00127447" w:rsidP="00127447">
            <w:pPr>
              <w:tabs>
                <w:tab w:val="left" w:pos="2724"/>
                <w:tab w:val="left" w:pos="3152"/>
              </w:tabs>
              <w:ind w:right="175"/>
              <w:rPr>
                <w:rFonts w:ascii="Arial" w:hAnsi="Arial" w:cs="Arial"/>
                <w:b/>
                <w:sz w:val="18"/>
                <w:szCs w:val="18"/>
              </w:rPr>
            </w:pPr>
            <w:r w:rsidRPr="003676E3">
              <w:rPr>
                <w:rFonts w:ascii="Arial" w:hAnsi="Arial" w:cs="Arial"/>
                <w:b/>
                <w:sz w:val="18"/>
                <w:szCs w:val="18"/>
              </w:rPr>
              <w:t>This shows what the LA will receive for</w:t>
            </w:r>
            <w:r>
              <w:rPr>
                <w:rFonts w:ascii="Arial" w:hAnsi="Arial" w:cs="Arial"/>
                <w:b/>
                <w:sz w:val="18"/>
                <w:szCs w:val="18"/>
              </w:rPr>
              <w:t xml:space="preserve"> its</w:t>
            </w:r>
            <w:r w:rsidRPr="003676E3">
              <w:rPr>
                <w:rFonts w:ascii="Arial" w:hAnsi="Arial" w:cs="Arial"/>
                <w:b/>
                <w:sz w:val="18"/>
                <w:szCs w:val="18"/>
              </w:rPr>
              <w:t xml:space="preserve"> historic commitments in 202</w:t>
            </w:r>
            <w:r>
              <w:rPr>
                <w:rFonts w:ascii="Arial" w:hAnsi="Arial" w:cs="Arial"/>
                <w:b/>
                <w:sz w:val="18"/>
                <w:szCs w:val="18"/>
              </w:rPr>
              <w:t>2</w:t>
            </w:r>
            <w:r w:rsidRPr="003676E3">
              <w:rPr>
                <w:rFonts w:ascii="Arial" w:hAnsi="Arial" w:cs="Arial"/>
                <w:b/>
                <w:sz w:val="18"/>
                <w:szCs w:val="18"/>
              </w:rPr>
              <w:t>-</w:t>
            </w:r>
            <w:r>
              <w:rPr>
                <w:rFonts w:ascii="Arial" w:hAnsi="Arial" w:cs="Arial"/>
                <w:b/>
                <w:sz w:val="18"/>
                <w:szCs w:val="18"/>
              </w:rPr>
              <w:t>23</w:t>
            </w:r>
            <w:r w:rsidRPr="003676E3">
              <w:rPr>
                <w:rFonts w:ascii="Arial" w:hAnsi="Arial" w:cs="Arial"/>
                <w:b/>
                <w:sz w:val="18"/>
                <w:szCs w:val="18"/>
              </w:rPr>
              <w:t>.</w:t>
            </w:r>
          </w:p>
        </w:tc>
      </w:tr>
      <w:tr w:rsidR="00127447" w:rsidRPr="003E148A" w14:paraId="1BFB0A9F" w14:textId="77777777" w:rsidTr="00910C75">
        <w:tc>
          <w:tcPr>
            <w:tcW w:w="392" w:type="dxa"/>
            <w:shd w:val="clear" w:color="auto" w:fill="auto"/>
          </w:tcPr>
          <w:p w14:paraId="6FF3B66F" w14:textId="77777777" w:rsidR="00127447" w:rsidRPr="003E148A" w:rsidRDefault="00127447" w:rsidP="00127447">
            <w:pPr>
              <w:ind w:right="-1180"/>
              <w:rPr>
                <w:rFonts w:ascii="Arial" w:hAnsi="Arial" w:cs="Arial"/>
              </w:rPr>
            </w:pPr>
            <w:r>
              <w:rPr>
                <w:rFonts w:ascii="Arial" w:hAnsi="Arial" w:cs="Arial"/>
              </w:rPr>
              <w:t>E</w:t>
            </w:r>
          </w:p>
        </w:tc>
        <w:tc>
          <w:tcPr>
            <w:tcW w:w="5415" w:type="dxa"/>
            <w:shd w:val="clear" w:color="auto" w:fill="auto"/>
          </w:tcPr>
          <w:p w14:paraId="73AAC46C" w14:textId="77777777" w:rsidR="00127447" w:rsidRPr="003E148A" w:rsidRDefault="00127447" w:rsidP="00127447">
            <w:pPr>
              <w:ind w:right="-1180"/>
              <w:rPr>
                <w:rFonts w:ascii="Arial" w:hAnsi="Arial" w:cs="Arial"/>
              </w:rPr>
            </w:pPr>
            <w:r w:rsidRPr="003E148A">
              <w:rPr>
                <w:rFonts w:ascii="Arial" w:hAnsi="Arial" w:cs="Arial"/>
              </w:rPr>
              <w:t>202</w:t>
            </w:r>
            <w:r>
              <w:rPr>
                <w:rFonts w:ascii="Arial" w:hAnsi="Arial" w:cs="Arial"/>
              </w:rPr>
              <w:t>1</w:t>
            </w:r>
            <w:r w:rsidRPr="003E148A">
              <w:rPr>
                <w:rFonts w:ascii="Arial" w:hAnsi="Arial" w:cs="Arial"/>
              </w:rPr>
              <w:t>-2</w:t>
            </w:r>
            <w:r>
              <w:rPr>
                <w:rFonts w:ascii="Arial" w:hAnsi="Arial" w:cs="Arial"/>
              </w:rPr>
              <w:t>2</w:t>
            </w:r>
            <w:r w:rsidRPr="003E148A">
              <w:rPr>
                <w:rFonts w:ascii="Arial" w:hAnsi="Arial" w:cs="Arial"/>
              </w:rPr>
              <w:t xml:space="preserve"> baseline for ongoing responsibilities</w:t>
            </w:r>
          </w:p>
        </w:tc>
        <w:tc>
          <w:tcPr>
            <w:tcW w:w="1134" w:type="dxa"/>
            <w:shd w:val="clear" w:color="auto" w:fill="auto"/>
          </w:tcPr>
          <w:p w14:paraId="793E4610" w14:textId="77777777" w:rsidR="00127447" w:rsidRPr="003E148A" w:rsidRDefault="00127447" w:rsidP="00127447">
            <w:pPr>
              <w:ind w:right="-43"/>
              <w:jc w:val="right"/>
              <w:rPr>
                <w:rFonts w:ascii="Arial" w:hAnsi="Arial" w:cs="Arial"/>
              </w:rPr>
            </w:pPr>
            <w:r>
              <w:rPr>
                <w:rFonts w:ascii="Arial" w:hAnsi="Arial" w:cs="Arial"/>
              </w:rPr>
              <w:t>6.842</w:t>
            </w:r>
          </w:p>
        </w:tc>
        <w:tc>
          <w:tcPr>
            <w:tcW w:w="2947" w:type="dxa"/>
            <w:shd w:val="clear" w:color="auto" w:fill="auto"/>
          </w:tcPr>
          <w:p w14:paraId="6512C421" w14:textId="77777777" w:rsidR="00127447" w:rsidRPr="003E148A" w:rsidRDefault="00127447" w:rsidP="00127447">
            <w:pPr>
              <w:tabs>
                <w:tab w:val="left" w:pos="2724"/>
                <w:tab w:val="left" w:pos="3152"/>
              </w:tabs>
              <w:ind w:right="175"/>
              <w:rPr>
                <w:rFonts w:ascii="Arial" w:hAnsi="Arial" w:cs="Arial"/>
                <w:sz w:val="18"/>
                <w:szCs w:val="18"/>
              </w:rPr>
            </w:pPr>
            <w:r w:rsidRPr="003E148A">
              <w:rPr>
                <w:rFonts w:ascii="Arial" w:hAnsi="Arial" w:cs="Arial"/>
                <w:sz w:val="18"/>
                <w:szCs w:val="18"/>
              </w:rPr>
              <w:t>This shows the LA's allocation for ongoing responsibilities in the current year’s DSG allocations.</w:t>
            </w:r>
          </w:p>
        </w:tc>
      </w:tr>
      <w:tr w:rsidR="00127447" w:rsidRPr="003E148A" w14:paraId="08381ECD" w14:textId="77777777" w:rsidTr="00910C75">
        <w:tc>
          <w:tcPr>
            <w:tcW w:w="392" w:type="dxa"/>
            <w:shd w:val="clear" w:color="auto" w:fill="auto"/>
          </w:tcPr>
          <w:p w14:paraId="08D32711" w14:textId="77777777" w:rsidR="00127447" w:rsidRPr="003676E3" w:rsidRDefault="00127447" w:rsidP="00127447">
            <w:pPr>
              <w:ind w:right="-1180"/>
              <w:rPr>
                <w:rFonts w:ascii="Arial" w:hAnsi="Arial" w:cs="Arial"/>
                <w:b/>
              </w:rPr>
            </w:pPr>
            <w:r w:rsidRPr="003676E3">
              <w:rPr>
                <w:rFonts w:ascii="Arial" w:hAnsi="Arial" w:cs="Arial"/>
                <w:b/>
              </w:rPr>
              <w:t>F</w:t>
            </w:r>
          </w:p>
        </w:tc>
        <w:tc>
          <w:tcPr>
            <w:tcW w:w="5415" w:type="dxa"/>
            <w:shd w:val="clear" w:color="auto" w:fill="auto"/>
          </w:tcPr>
          <w:p w14:paraId="278E7E96" w14:textId="43C6219A" w:rsidR="00127447" w:rsidRPr="003676E3" w:rsidRDefault="00127447" w:rsidP="00127447">
            <w:pPr>
              <w:ind w:right="-1180"/>
              <w:rPr>
                <w:rFonts w:ascii="Arial" w:hAnsi="Arial" w:cs="Arial"/>
                <w:b/>
              </w:rPr>
            </w:pPr>
            <w:r w:rsidRPr="003676E3">
              <w:rPr>
                <w:rFonts w:ascii="Arial" w:hAnsi="Arial" w:cs="Arial"/>
                <w:b/>
              </w:rPr>
              <w:t>2022-23 total funding for ongoing responsibilities</w:t>
            </w:r>
          </w:p>
        </w:tc>
        <w:tc>
          <w:tcPr>
            <w:tcW w:w="1134" w:type="dxa"/>
            <w:shd w:val="clear" w:color="auto" w:fill="auto"/>
          </w:tcPr>
          <w:p w14:paraId="209AF7F1" w14:textId="77777777" w:rsidR="00127447" w:rsidRPr="003676E3" w:rsidRDefault="00127447" w:rsidP="00127447">
            <w:pPr>
              <w:ind w:right="-43"/>
              <w:jc w:val="right"/>
              <w:rPr>
                <w:rFonts w:ascii="Arial" w:hAnsi="Arial" w:cs="Arial"/>
                <w:b/>
              </w:rPr>
            </w:pPr>
            <w:r w:rsidRPr="003676E3">
              <w:rPr>
                <w:rFonts w:ascii="Arial" w:hAnsi="Arial" w:cs="Arial"/>
                <w:b/>
              </w:rPr>
              <w:t>7</w:t>
            </w:r>
            <w:r>
              <w:rPr>
                <w:rFonts w:ascii="Arial" w:hAnsi="Arial" w:cs="Arial"/>
                <w:b/>
              </w:rPr>
              <w:t>.</w:t>
            </w:r>
            <w:r w:rsidRPr="003676E3">
              <w:rPr>
                <w:rFonts w:ascii="Arial" w:hAnsi="Arial" w:cs="Arial"/>
                <w:b/>
              </w:rPr>
              <w:t>150</w:t>
            </w:r>
          </w:p>
        </w:tc>
        <w:tc>
          <w:tcPr>
            <w:tcW w:w="2947" w:type="dxa"/>
            <w:shd w:val="clear" w:color="auto" w:fill="auto"/>
          </w:tcPr>
          <w:p w14:paraId="74269BE9" w14:textId="77777777" w:rsidR="00127447" w:rsidRPr="003676E3" w:rsidRDefault="00127447" w:rsidP="00127447">
            <w:pPr>
              <w:tabs>
                <w:tab w:val="left" w:pos="2724"/>
                <w:tab w:val="left" w:pos="3152"/>
              </w:tabs>
              <w:ind w:right="175"/>
              <w:rPr>
                <w:rFonts w:ascii="Arial" w:hAnsi="Arial" w:cs="Arial"/>
                <w:b/>
                <w:sz w:val="18"/>
                <w:szCs w:val="18"/>
              </w:rPr>
            </w:pPr>
            <w:r w:rsidRPr="003676E3">
              <w:rPr>
                <w:rFonts w:ascii="Arial" w:hAnsi="Arial" w:cs="Arial"/>
                <w:b/>
                <w:sz w:val="18"/>
                <w:szCs w:val="18"/>
              </w:rPr>
              <w:t>This shows what the LA will provisionally receive for ongoing responsibilities in 202</w:t>
            </w:r>
            <w:r>
              <w:rPr>
                <w:rFonts w:ascii="Arial" w:hAnsi="Arial" w:cs="Arial"/>
                <w:b/>
                <w:sz w:val="18"/>
                <w:szCs w:val="18"/>
              </w:rPr>
              <w:t>2</w:t>
            </w:r>
            <w:r w:rsidRPr="003676E3">
              <w:rPr>
                <w:rFonts w:ascii="Arial" w:hAnsi="Arial" w:cs="Arial"/>
                <w:b/>
                <w:sz w:val="18"/>
                <w:szCs w:val="18"/>
              </w:rPr>
              <w:t>-2</w:t>
            </w:r>
            <w:r>
              <w:rPr>
                <w:rFonts w:ascii="Arial" w:hAnsi="Arial" w:cs="Arial"/>
                <w:b/>
                <w:sz w:val="18"/>
                <w:szCs w:val="18"/>
              </w:rPr>
              <w:t>3</w:t>
            </w:r>
            <w:r w:rsidRPr="003676E3">
              <w:rPr>
                <w:rFonts w:ascii="Arial" w:hAnsi="Arial" w:cs="Arial"/>
                <w:b/>
                <w:sz w:val="18"/>
                <w:szCs w:val="18"/>
              </w:rPr>
              <w:t>.</w:t>
            </w:r>
          </w:p>
        </w:tc>
      </w:tr>
      <w:tr w:rsidR="00127447" w:rsidRPr="003E148A" w14:paraId="7FFD0857" w14:textId="77777777" w:rsidTr="00910C75">
        <w:tc>
          <w:tcPr>
            <w:tcW w:w="392" w:type="dxa"/>
            <w:shd w:val="clear" w:color="auto" w:fill="auto"/>
          </w:tcPr>
          <w:p w14:paraId="6C025A57" w14:textId="77777777" w:rsidR="00127447" w:rsidRPr="003E148A" w:rsidRDefault="00127447" w:rsidP="00127447">
            <w:pPr>
              <w:ind w:right="-1180"/>
              <w:rPr>
                <w:rFonts w:ascii="Arial" w:hAnsi="Arial" w:cs="Arial"/>
              </w:rPr>
            </w:pPr>
            <w:r>
              <w:rPr>
                <w:rFonts w:ascii="Arial" w:hAnsi="Arial" w:cs="Arial"/>
              </w:rPr>
              <w:t>G</w:t>
            </w:r>
          </w:p>
        </w:tc>
        <w:tc>
          <w:tcPr>
            <w:tcW w:w="5415" w:type="dxa"/>
            <w:shd w:val="clear" w:color="auto" w:fill="auto"/>
          </w:tcPr>
          <w:p w14:paraId="31509A77" w14:textId="77777777" w:rsidR="00127447" w:rsidRPr="003E148A" w:rsidRDefault="00127447" w:rsidP="00127447">
            <w:pPr>
              <w:ind w:right="-1180"/>
              <w:rPr>
                <w:rFonts w:ascii="Arial" w:hAnsi="Arial" w:cs="Arial"/>
              </w:rPr>
            </w:pPr>
            <w:r w:rsidRPr="003E148A">
              <w:rPr>
                <w:rFonts w:ascii="Arial" w:hAnsi="Arial" w:cs="Arial"/>
              </w:rPr>
              <w:t>Percentage change in per pupil funding in 202</w:t>
            </w:r>
            <w:r>
              <w:rPr>
                <w:rFonts w:ascii="Arial" w:hAnsi="Arial" w:cs="Arial"/>
              </w:rPr>
              <w:t>2</w:t>
            </w:r>
            <w:r w:rsidRPr="003E148A">
              <w:rPr>
                <w:rFonts w:ascii="Arial" w:hAnsi="Arial" w:cs="Arial"/>
              </w:rPr>
              <w:t>-2</w:t>
            </w:r>
            <w:r>
              <w:rPr>
                <w:rFonts w:ascii="Arial" w:hAnsi="Arial" w:cs="Arial"/>
              </w:rPr>
              <w:t>3</w:t>
            </w:r>
          </w:p>
        </w:tc>
        <w:tc>
          <w:tcPr>
            <w:tcW w:w="1134" w:type="dxa"/>
            <w:shd w:val="clear" w:color="auto" w:fill="auto"/>
          </w:tcPr>
          <w:p w14:paraId="7C429F91" w14:textId="77777777" w:rsidR="00127447" w:rsidRPr="003E148A" w:rsidRDefault="00127447" w:rsidP="00127447">
            <w:pPr>
              <w:ind w:right="-43"/>
              <w:jc w:val="right"/>
              <w:rPr>
                <w:rFonts w:ascii="Arial" w:hAnsi="Arial" w:cs="Arial"/>
              </w:rPr>
            </w:pPr>
            <w:r>
              <w:rPr>
                <w:rFonts w:ascii="Arial" w:hAnsi="Arial" w:cs="Arial"/>
              </w:rPr>
              <w:t>4.50</w:t>
            </w:r>
            <w:r w:rsidRPr="003E148A">
              <w:rPr>
                <w:rFonts w:ascii="Arial" w:hAnsi="Arial" w:cs="Arial"/>
              </w:rPr>
              <w:t>%</w:t>
            </w:r>
          </w:p>
        </w:tc>
        <w:tc>
          <w:tcPr>
            <w:tcW w:w="2947" w:type="dxa"/>
            <w:shd w:val="clear" w:color="auto" w:fill="auto"/>
          </w:tcPr>
          <w:p w14:paraId="22F083CD" w14:textId="77777777" w:rsidR="00127447" w:rsidRPr="003E148A" w:rsidRDefault="00127447" w:rsidP="00127447">
            <w:pPr>
              <w:tabs>
                <w:tab w:val="left" w:pos="2724"/>
                <w:tab w:val="left" w:pos="3152"/>
              </w:tabs>
              <w:ind w:right="175"/>
              <w:rPr>
                <w:rFonts w:ascii="Arial" w:hAnsi="Arial" w:cs="Arial"/>
                <w:sz w:val="18"/>
                <w:szCs w:val="18"/>
              </w:rPr>
            </w:pPr>
            <w:r w:rsidRPr="003E148A">
              <w:rPr>
                <w:rFonts w:ascii="Arial" w:hAnsi="Arial" w:cs="Arial"/>
                <w:sz w:val="18"/>
                <w:szCs w:val="18"/>
              </w:rPr>
              <w:t>This shows the percentage change in what the LA will provisionally receive per pupil for ongoing responsibilities.</w:t>
            </w:r>
          </w:p>
        </w:tc>
      </w:tr>
      <w:tr w:rsidR="00127447" w:rsidRPr="003E148A" w14:paraId="404795A4" w14:textId="77777777" w:rsidTr="00910C75">
        <w:tc>
          <w:tcPr>
            <w:tcW w:w="392" w:type="dxa"/>
            <w:shd w:val="clear" w:color="auto" w:fill="auto"/>
          </w:tcPr>
          <w:p w14:paraId="2935ECA4" w14:textId="77777777" w:rsidR="00127447" w:rsidRPr="003E148A" w:rsidRDefault="00127447" w:rsidP="00127447">
            <w:pPr>
              <w:ind w:right="-1180"/>
              <w:rPr>
                <w:rFonts w:ascii="Arial" w:hAnsi="Arial" w:cs="Arial"/>
              </w:rPr>
            </w:pPr>
          </w:p>
        </w:tc>
        <w:tc>
          <w:tcPr>
            <w:tcW w:w="5415" w:type="dxa"/>
            <w:shd w:val="clear" w:color="auto" w:fill="auto"/>
          </w:tcPr>
          <w:p w14:paraId="14C40CF3" w14:textId="6FF3C586" w:rsidR="00127447" w:rsidRPr="003E148A" w:rsidRDefault="00127447" w:rsidP="00127447">
            <w:pPr>
              <w:ind w:right="-1180"/>
              <w:rPr>
                <w:rFonts w:ascii="Arial" w:hAnsi="Arial" w:cs="Arial"/>
                <w:b/>
              </w:rPr>
            </w:pPr>
            <w:r w:rsidRPr="003E148A">
              <w:rPr>
                <w:rFonts w:ascii="Arial" w:hAnsi="Arial" w:cs="Arial"/>
                <w:b/>
              </w:rPr>
              <w:t>Overall Funding (</w:t>
            </w:r>
            <w:r>
              <w:rPr>
                <w:rFonts w:ascii="Arial" w:hAnsi="Arial" w:cs="Arial"/>
                <w:b/>
              </w:rPr>
              <w:t xml:space="preserve">D </w:t>
            </w:r>
            <w:r w:rsidRPr="003E148A">
              <w:rPr>
                <w:rFonts w:ascii="Arial" w:hAnsi="Arial" w:cs="Arial"/>
                <w:b/>
              </w:rPr>
              <w:t xml:space="preserve">+ </w:t>
            </w:r>
            <w:r>
              <w:rPr>
                <w:rFonts w:ascii="Arial" w:hAnsi="Arial" w:cs="Arial"/>
                <w:b/>
              </w:rPr>
              <w:t>F</w:t>
            </w:r>
            <w:r w:rsidRPr="003E148A">
              <w:rPr>
                <w:rFonts w:ascii="Arial" w:hAnsi="Arial" w:cs="Arial"/>
                <w:b/>
              </w:rPr>
              <w:t>)</w:t>
            </w:r>
          </w:p>
        </w:tc>
        <w:tc>
          <w:tcPr>
            <w:tcW w:w="1134" w:type="dxa"/>
            <w:shd w:val="clear" w:color="auto" w:fill="auto"/>
          </w:tcPr>
          <w:p w14:paraId="403170B0" w14:textId="77777777" w:rsidR="00127447" w:rsidRPr="003E148A" w:rsidRDefault="00127447" w:rsidP="00127447">
            <w:pPr>
              <w:ind w:right="-43"/>
              <w:jc w:val="right"/>
              <w:rPr>
                <w:rFonts w:ascii="Arial" w:hAnsi="Arial" w:cs="Arial"/>
                <w:b/>
              </w:rPr>
            </w:pPr>
            <w:r>
              <w:rPr>
                <w:rFonts w:ascii="Arial" w:hAnsi="Arial" w:cs="Arial"/>
                <w:b/>
              </w:rPr>
              <w:t>8.303</w:t>
            </w:r>
          </w:p>
        </w:tc>
        <w:tc>
          <w:tcPr>
            <w:tcW w:w="2947" w:type="dxa"/>
            <w:shd w:val="clear" w:color="auto" w:fill="auto"/>
          </w:tcPr>
          <w:p w14:paraId="43BCE26F" w14:textId="77777777" w:rsidR="00127447" w:rsidRPr="003E148A" w:rsidRDefault="00127447" w:rsidP="00127447">
            <w:pPr>
              <w:ind w:right="-1180"/>
              <w:rPr>
                <w:rFonts w:ascii="Arial" w:hAnsi="Arial" w:cs="Arial"/>
              </w:rPr>
            </w:pPr>
          </w:p>
        </w:tc>
      </w:tr>
    </w:tbl>
    <w:p w14:paraId="15447BD6" w14:textId="77777777" w:rsidR="00FE56A4" w:rsidRDefault="00FE56A4" w:rsidP="009F01AD">
      <w:pPr>
        <w:ind w:right="-1180"/>
        <w:rPr>
          <w:rFonts w:ascii="Arial" w:hAnsi="Arial" w:cs="Arial"/>
        </w:rPr>
      </w:pPr>
    </w:p>
    <w:p w14:paraId="7F4F909D" w14:textId="259CB55C" w:rsidR="00AF7D3C" w:rsidRDefault="00AF7D3C" w:rsidP="00615771">
      <w:pPr>
        <w:ind w:right="-1180"/>
        <w:rPr>
          <w:rFonts w:ascii="Arial" w:hAnsi="Arial" w:cs="Arial"/>
        </w:rPr>
      </w:pPr>
      <w:r>
        <w:rPr>
          <w:rFonts w:ascii="Arial" w:hAnsi="Arial" w:cs="Arial"/>
        </w:rPr>
        <w:t>H</w:t>
      </w:r>
      <w:r w:rsidR="00B83102">
        <w:rPr>
          <w:rFonts w:ascii="Arial" w:hAnsi="Arial" w:cs="Arial"/>
        </w:rPr>
        <w:t>istoric commitments refer to spend back to 2013</w:t>
      </w:r>
      <w:r w:rsidR="005D17EA">
        <w:rPr>
          <w:rFonts w:ascii="Arial" w:hAnsi="Arial" w:cs="Arial"/>
        </w:rPr>
        <w:t>/</w:t>
      </w:r>
      <w:r w:rsidR="00B83102">
        <w:rPr>
          <w:rFonts w:ascii="Arial" w:hAnsi="Arial" w:cs="Arial"/>
        </w:rPr>
        <w:t xml:space="preserve">14, which </w:t>
      </w:r>
      <w:r w:rsidR="005D17EA">
        <w:rPr>
          <w:rFonts w:ascii="Arial" w:hAnsi="Arial" w:cs="Arial"/>
        </w:rPr>
        <w:t xml:space="preserve">are </w:t>
      </w:r>
      <w:r w:rsidR="00B83102">
        <w:rPr>
          <w:rFonts w:ascii="Arial" w:hAnsi="Arial" w:cs="Arial"/>
        </w:rPr>
        <w:t>difficult to track back</w:t>
      </w:r>
      <w:r w:rsidR="00A758BD">
        <w:rPr>
          <w:rFonts w:ascii="Arial" w:hAnsi="Arial" w:cs="Arial"/>
        </w:rPr>
        <w:t xml:space="preserve"> </w:t>
      </w:r>
      <w:r w:rsidR="005B4CAD">
        <w:rPr>
          <w:rFonts w:ascii="Arial" w:hAnsi="Arial" w:cs="Arial"/>
        </w:rPr>
        <w:t>p</w:t>
      </w:r>
      <w:r w:rsidR="00B83102">
        <w:rPr>
          <w:rFonts w:ascii="Arial" w:hAnsi="Arial" w:cs="Arial"/>
        </w:rPr>
        <w:t xml:space="preserve">recisely, but seems to </w:t>
      </w:r>
      <w:r w:rsidR="002B7306">
        <w:rPr>
          <w:rFonts w:ascii="Arial" w:hAnsi="Arial" w:cs="Arial"/>
        </w:rPr>
        <w:t>equate</w:t>
      </w:r>
      <w:r w:rsidR="00B83102">
        <w:rPr>
          <w:rFonts w:ascii="Arial" w:hAnsi="Arial" w:cs="Arial"/>
        </w:rPr>
        <w:t xml:space="preserve"> to equal pay (manual and</w:t>
      </w:r>
      <w:r w:rsidR="00EC7531">
        <w:rPr>
          <w:rFonts w:ascii="Arial" w:hAnsi="Arial" w:cs="Arial"/>
        </w:rPr>
        <w:t xml:space="preserve"> </w:t>
      </w:r>
      <w:r w:rsidR="00B83102">
        <w:rPr>
          <w:rFonts w:ascii="Arial" w:hAnsi="Arial" w:cs="Arial"/>
        </w:rPr>
        <w:t xml:space="preserve">non manual), </w:t>
      </w:r>
      <w:r w:rsidR="00EC7531">
        <w:rPr>
          <w:rFonts w:ascii="Arial" w:hAnsi="Arial" w:cs="Arial"/>
        </w:rPr>
        <w:t>plus school improvement</w:t>
      </w:r>
      <w:r w:rsidR="000E58AC">
        <w:rPr>
          <w:rFonts w:ascii="Arial" w:hAnsi="Arial" w:cs="Arial"/>
        </w:rPr>
        <w:t xml:space="preserve">, </w:t>
      </w:r>
      <w:r w:rsidR="00025A86">
        <w:rPr>
          <w:rFonts w:ascii="Arial" w:hAnsi="Arial" w:cs="Arial"/>
        </w:rPr>
        <w:t xml:space="preserve">nursery redundancies </w:t>
      </w:r>
      <w:r w:rsidR="00EC7531">
        <w:rPr>
          <w:rFonts w:ascii="Arial" w:hAnsi="Arial" w:cs="Arial"/>
        </w:rPr>
        <w:t xml:space="preserve">and early help / brokerage. </w:t>
      </w:r>
    </w:p>
    <w:p w14:paraId="2A6BC901" w14:textId="60743FD0" w:rsidR="00EC7531" w:rsidRDefault="00AF7D3C" w:rsidP="00EC7531">
      <w:pPr>
        <w:ind w:right="-1014"/>
        <w:rPr>
          <w:rFonts w:ascii="Arial" w:hAnsi="Arial" w:cs="Arial"/>
        </w:rPr>
      </w:pPr>
      <w:r>
        <w:rPr>
          <w:rFonts w:ascii="Arial" w:hAnsi="Arial" w:cs="Arial"/>
        </w:rPr>
        <w:t>The D</w:t>
      </w:r>
      <w:r w:rsidR="00EC7531">
        <w:rPr>
          <w:rFonts w:ascii="Arial" w:hAnsi="Arial" w:cs="Arial"/>
        </w:rPr>
        <w:t xml:space="preserve">fE </w:t>
      </w:r>
      <w:r>
        <w:rPr>
          <w:rFonts w:ascii="Arial" w:hAnsi="Arial" w:cs="Arial"/>
        </w:rPr>
        <w:t xml:space="preserve">have </w:t>
      </w:r>
      <w:r w:rsidR="00EC7531">
        <w:rPr>
          <w:rFonts w:ascii="Arial" w:hAnsi="Arial" w:cs="Arial"/>
        </w:rPr>
        <w:t>decide</w:t>
      </w:r>
      <w:r>
        <w:rPr>
          <w:rFonts w:ascii="Arial" w:hAnsi="Arial" w:cs="Arial"/>
        </w:rPr>
        <w:t>d</w:t>
      </w:r>
      <w:r w:rsidR="00EC7531">
        <w:rPr>
          <w:rFonts w:ascii="Arial" w:hAnsi="Arial" w:cs="Arial"/>
        </w:rPr>
        <w:t xml:space="preserve"> to reduce funding by 20% </w:t>
      </w:r>
      <w:r>
        <w:rPr>
          <w:rFonts w:ascii="Arial" w:hAnsi="Arial" w:cs="Arial"/>
        </w:rPr>
        <w:t xml:space="preserve">for historic commitments but </w:t>
      </w:r>
      <w:r w:rsidR="005B4CAD">
        <w:rPr>
          <w:rFonts w:ascii="Arial" w:hAnsi="Arial" w:cs="Arial"/>
        </w:rPr>
        <w:t xml:space="preserve">there remains a </w:t>
      </w:r>
      <w:r w:rsidR="00805C18">
        <w:rPr>
          <w:rFonts w:ascii="Arial" w:hAnsi="Arial" w:cs="Arial"/>
        </w:rPr>
        <w:t xml:space="preserve">£0.660m </w:t>
      </w:r>
      <w:r w:rsidR="005B4CAD">
        <w:rPr>
          <w:rFonts w:ascii="Arial" w:hAnsi="Arial" w:cs="Arial"/>
        </w:rPr>
        <w:t xml:space="preserve">commitment for </w:t>
      </w:r>
      <w:r w:rsidR="00805C18">
        <w:rPr>
          <w:rFonts w:ascii="Arial" w:hAnsi="Arial" w:cs="Arial"/>
        </w:rPr>
        <w:t xml:space="preserve">equal pay for manual staff in schools </w:t>
      </w:r>
      <w:r w:rsidR="005B4CAD">
        <w:rPr>
          <w:rFonts w:ascii="Arial" w:hAnsi="Arial" w:cs="Arial"/>
        </w:rPr>
        <w:t xml:space="preserve">which </w:t>
      </w:r>
      <w:r w:rsidR="00805C18">
        <w:rPr>
          <w:rFonts w:ascii="Arial" w:hAnsi="Arial" w:cs="Arial"/>
        </w:rPr>
        <w:t>covers a repayment period to 2031/32.</w:t>
      </w:r>
      <w:r>
        <w:rPr>
          <w:rFonts w:ascii="Arial" w:hAnsi="Arial" w:cs="Arial"/>
        </w:rPr>
        <w:t xml:space="preserve">  We have written to DfE to request some protection against this and </w:t>
      </w:r>
      <w:r w:rsidR="00E94438">
        <w:rPr>
          <w:rFonts w:ascii="Arial" w:hAnsi="Arial" w:cs="Arial"/>
        </w:rPr>
        <w:t>their advice is that our CSSB allocation cannot be protected until the historic commitments funding falls below the £0.660m</w:t>
      </w:r>
      <w:r>
        <w:rPr>
          <w:rFonts w:ascii="Arial" w:hAnsi="Arial" w:cs="Arial"/>
        </w:rPr>
        <w:t>.</w:t>
      </w:r>
      <w:r w:rsidR="00E94438">
        <w:rPr>
          <w:rFonts w:ascii="Arial" w:hAnsi="Arial" w:cs="Arial"/>
        </w:rPr>
        <w:t xml:space="preserve">  We estimate that this will not come into play until 2025</w:t>
      </w:r>
      <w:r w:rsidR="005D17EA">
        <w:rPr>
          <w:rFonts w:ascii="Arial" w:hAnsi="Arial" w:cs="Arial"/>
        </w:rPr>
        <w:t>/</w:t>
      </w:r>
      <w:r w:rsidR="00E94438">
        <w:rPr>
          <w:rFonts w:ascii="Arial" w:hAnsi="Arial" w:cs="Arial"/>
        </w:rPr>
        <w:t>26.</w:t>
      </w:r>
      <w:r w:rsidR="00805C18">
        <w:rPr>
          <w:rFonts w:ascii="Arial" w:hAnsi="Arial" w:cs="Arial"/>
        </w:rPr>
        <w:t xml:space="preserve"> </w:t>
      </w:r>
    </w:p>
    <w:p w14:paraId="6874339F" w14:textId="3A80A6F5" w:rsidR="00AF7D3C" w:rsidRDefault="00AF7D3C" w:rsidP="00EC7531">
      <w:pPr>
        <w:ind w:right="-1014"/>
        <w:rPr>
          <w:rFonts w:ascii="Arial" w:hAnsi="Arial" w:cs="Arial"/>
        </w:rPr>
      </w:pPr>
      <w:r>
        <w:rPr>
          <w:rFonts w:ascii="Arial" w:hAnsi="Arial" w:cs="Arial"/>
        </w:rPr>
        <w:t>G</w:t>
      </w:r>
      <w:r w:rsidR="00805C18">
        <w:rPr>
          <w:rFonts w:ascii="Arial" w:hAnsi="Arial" w:cs="Arial"/>
        </w:rPr>
        <w:t xml:space="preserve">iven the </w:t>
      </w:r>
      <w:r w:rsidR="00E94438">
        <w:rPr>
          <w:rFonts w:ascii="Arial" w:hAnsi="Arial" w:cs="Arial"/>
        </w:rPr>
        <w:t xml:space="preserve">overall </w:t>
      </w:r>
      <w:r w:rsidR="00805C18">
        <w:rPr>
          <w:rFonts w:ascii="Arial" w:hAnsi="Arial" w:cs="Arial"/>
        </w:rPr>
        <w:t>resources</w:t>
      </w:r>
      <w:r w:rsidR="00293A6A">
        <w:rPr>
          <w:rFonts w:ascii="Arial" w:hAnsi="Arial" w:cs="Arial"/>
        </w:rPr>
        <w:t xml:space="preserve"> available</w:t>
      </w:r>
      <w:r w:rsidR="00E94438">
        <w:rPr>
          <w:rFonts w:ascii="Arial" w:hAnsi="Arial" w:cs="Arial"/>
        </w:rPr>
        <w:t xml:space="preserve"> within the CSSB allocation for 2022/23</w:t>
      </w:r>
      <w:r w:rsidR="00805C18">
        <w:rPr>
          <w:rFonts w:ascii="Arial" w:hAnsi="Arial" w:cs="Arial"/>
        </w:rPr>
        <w:t xml:space="preserve"> it seems sensible to maintain existing budgets</w:t>
      </w:r>
      <w:r>
        <w:rPr>
          <w:rFonts w:ascii="Arial" w:hAnsi="Arial" w:cs="Arial"/>
        </w:rPr>
        <w:t xml:space="preserve"> for historic commitments</w:t>
      </w:r>
      <w:r w:rsidR="00805C18">
        <w:rPr>
          <w:rFonts w:ascii="Arial" w:hAnsi="Arial" w:cs="Arial"/>
        </w:rPr>
        <w:t>, in cash terms</w:t>
      </w:r>
      <w:r w:rsidR="00E94438">
        <w:rPr>
          <w:rFonts w:ascii="Arial" w:hAnsi="Arial" w:cs="Arial"/>
        </w:rPr>
        <w:t>,</w:t>
      </w:r>
      <w:r w:rsidR="006A74AC">
        <w:rPr>
          <w:rFonts w:ascii="Arial" w:hAnsi="Arial" w:cs="Arial"/>
        </w:rPr>
        <w:t xml:space="preserve"> </w:t>
      </w:r>
      <w:r>
        <w:rPr>
          <w:rFonts w:ascii="Arial" w:hAnsi="Arial" w:cs="Arial"/>
        </w:rPr>
        <w:t xml:space="preserve">with a view to taking a more considered approach </w:t>
      </w:r>
      <w:r w:rsidR="005D17EA">
        <w:rPr>
          <w:rFonts w:ascii="Arial" w:hAnsi="Arial" w:cs="Arial"/>
        </w:rPr>
        <w:t>moving</w:t>
      </w:r>
      <w:r>
        <w:rPr>
          <w:rFonts w:ascii="Arial" w:hAnsi="Arial" w:cs="Arial"/>
        </w:rPr>
        <w:t xml:space="preserve"> forward as to how </w:t>
      </w:r>
      <w:r w:rsidR="005D17EA">
        <w:rPr>
          <w:rFonts w:ascii="Arial" w:hAnsi="Arial" w:cs="Arial"/>
        </w:rPr>
        <w:t xml:space="preserve">budget </w:t>
      </w:r>
      <w:r>
        <w:rPr>
          <w:rFonts w:ascii="Arial" w:hAnsi="Arial" w:cs="Arial"/>
        </w:rPr>
        <w:t xml:space="preserve">support for Early Help </w:t>
      </w:r>
      <w:r>
        <w:rPr>
          <w:rFonts w:ascii="Arial" w:hAnsi="Arial" w:cs="Arial"/>
        </w:rPr>
        <w:lastRenderedPageBreak/>
        <w:t>and Brokerage, School Improvement and Nursery Redundancies</w:t>
      </w:r>
      <w:r w:rsidR="00293A6A">
        <w:rPr>
          <w:rFonts w:ascii="Arial" w:hAnsi="Arial" w:cs="Arial"/>
        </w:rPr>
        <w:t xml:space="preserve"> </w:t>
      </w:r>
      <w:r>
        <w:rPr>
          <w:rFonts w:ascii="Arial" w:hAnsi="Arial" w:cs="Arial"/>
        </w:rPr>
        <w:t>can be reduced.</w:t>
      </w:r>
      <w:r w:rsidR="00B123A2">
        <w:rPr>
          <w:rFonts w:ascii="Arial" w:hAnsi="Arial" w:cs="Arial"/>
        </w:rPr>
        <w:t xml:space="preserve"> Finance will have discussions with </w:t>
      </w:r>
      <w:r w:rsidR="005D17EA">
        <w:rPr>
          <w:rFonts w:ascii="Arial" w:hAnsi="Arial" w:cs="Arial"/>
        </w:rPr>
        <w:t>all relevant parties</w:t>
      </w:r>
      <w:r w:rsidR="00B123A2">
        <w:rPr>
          <w:rFonts w:ascii="Arial" w:hAnsi="Arial" w:cs="Arial"/>
        </w:rPr>
        <w:t xml:space="preserve"> during the year with a view reaching an agreement about the </w:t>
      </w:r>
      <w:r w:rsidR="005D17EA">
        <w:rPr>
          <w:rFonts w:ascii="Arial" w:hAnsi="Arial" w:cs="Arial"/>
        </w:rPr>
        <w:t xml:space="preserve">best </w:t>
      </w:r>
      <w:r w:rsidR="00B123A2">
        <w:rPr>
          <w:rFonts w:ascii="Arial" w:hAnsi="Arial" w:cs="Arial"/>
        </w:rPr>
        <w:t xml:space="preserve">options available.  </w:t>
      </w:r>
    </w:p>
    <w:p w14:paraId="1A633FD1" w14:textId="77777777" w:rsidR="00FB09A7" w:rsidRDefault="002B7306" w:rsidP="00EC7531">
      <w:pPr>
        <w:ind w:right="-1014"/>
        <w:rPr>
          <w:rFonts w:ascii="Arial" w:hAnsi="Arial" w:cs="Arial"/>
        </w:rPr>
      </w:pPr>
      <w:r>
        <w:rPr>
          <w:rFonts w:ascii="Arial" w:hAnsi="Arial" w:cs="Arial"/>
        </w:rPr>
        <w:t>The funding for ongoing commitments within the CSSB allocation ha</w:t>
      </w:r>
      <w:r w:rsidR="00293A6A">
        <w:rPr>
          <w:rFonts w:ascii="Arial" w:hAnsi="Arial" w:cs="Arial"/>
        </w:rPr>
        <w:t>s</w:t>
      </w:r>
      <w:r>
        <w:rPr>
          <w:rFonts w:ascii="Arial" w:hAnsi="Arial" w:cs="Arial"/>
        </w:rPr>
        <w:t xml:space="preserve"> been increased by 4.5% in 2022/23.  In order to fund </w:t>
      </w:r>
      <w:r w:rsidR="00127447">
        <w:rPr>
          <w:rFonts w:ascii="Arial" w:hAnsi="Arial" w:cs="Arial"/>
        </w:rPr>
        <w:t>the remaining hi</w:t>
      </w:r>
      <w:r>
        <w:rPr>
          <w:rFonts w:ascii="Arial" w:hAnsi="Arial" w:cs="Arial"/>
        </w:rPr>
        <w:t>storic commitments at the same level as in 2021/22 we need to utilise £0.894m</w:t>
      </w:r>
      <w:r w:rsidR="00127447">
        <w:rPr>
          <w:rFonts w:ascii="Arial" w:hAnsi="Arial" w:cs="Arial"/>
        </w:rPr>
        <w:t xml:space="preserve"> of the funding allocated for ongoing commitments</w:t>
      </w:r>
      <w:r>
        <w:rPr>
          <w:rFonts w:ascii="Arial" w:hAnsi="Arial" w:cs="Arial"/>
        </w:rPr>
        <w:t>.</w:t>
      </w:r>
      <w:r w:rsidR="00127447">
        <w:rPr>
          <w:rFonts w:ascii="Arial" w:hAnsi="Arial" w:cs="Arial"/>
        </w:rPr>
        <w:t xml:space="preserve">  </w:t>
      </w:r>
    </w:p>
    <w:p w14:paraId="4CED42D6" w14:textId="511A5FBC" w:rsidR="00127447" w:rsidRDefault="00127447" w:rsidP="00EC7531">
      <w:pPr>
        <w:ind w:right="-1014"/>
        <w:rPr>
          <w:rFonts w:ascii="Arial" w:hAnsi="Arial" w:cs="Arial"/>
        </w:rPr>
      </w:pPr>
      <w:r>
        <w:rPr>
          <w:rFonts w:ascii="Arial" w:hAnsi="Arial" w:cs="Arial"/>
        </w:rPr>
        <w:t>There are three options that could be taken when allocati</w:t>
      </w:r>
      <w:r w:rsidR="006736A2">
        <w:rPr>
          <w:rFonts w:ascii="Arial" w:hAnsi="Arial" w:cs="Arial"/>
        </w:rPr>
        <w:t>ng</w:t>
      </w:r>
      <w:r>
        <w:rPr>
          <w:rFonts w:ascii="Arial" w:hAnsi="Arial" w:cs="Arial"/>
        </w:rPr>
        <w:t xml:space="preserve"> the remaining budget as follows:</w:t>
      </w:r>
    </w:p>
    <w:p w14:paraId="4529F10C" w14:textId="77777777" w:rsidR="002B7306" w:rsidRDefault="00127447" w:rsidP="00127447">
      <w:pPr>
        <w:pStyle w:val="ListParagraph"/>
        <w:numPr>
          <w:ilvl w:val="0"/>
          <w:numId w:val="44"/>
        </w:numPr>
        <w:ind w:right="-1014"/>
        <w:rPr>
          <w:rFonts w:ascii="Arial" w:hAnsi="Arial" w:cs="Arial"/>
        </w:rPr>
      </w:pPr>
      <w:bookmarkStart w:id="1" w:name="_Hlk92810990"/>
      <w:r>
        <w:rPr>
          <w:rFonts w:ascii="Arial" w:hAnsi="Arial" w:cs="Arial"/>
        </w:rPr>
        <w:t>Fund copyright licences in full at the amount notified by DfE and all other remaining ongoing commitments are funded at the 2021/22 rate. This leaves an unallocated amount of £0.328m which could be set aside in a reserve to help smooth the 20% loss in historic commitments going forward</w:t>
      </w:r>
      <w:r w:rsidR="00444E69">
        <w:rPr>
          <w:rFonts w:ascii="Arial" w:hAnsi="Arial" w:cs="Arial"/>
        </w:rPr>
        <w:t xml:space="preserve"> (acknowledging that services with inflationary pressures will need to absorb this within overall resources)</w:t>
      </w:r>
    </w:p>
    <w:p w14:paraId="75112303" w14:textId="6C93E2B4" w:rsidR="00127447" w:rsidRDefault="00127447" w:rsidP="00127447">
      <w:pPr>
        <w:pStyle w:val="ListParagraph"/>
        <w:numPr>
          <w:ilvl w:val="0"/>
          <w:numId w:val="44"/>
        </w:numPr>
        <w:ind w:right="-1014"/>
        <w:rPr>
          <w:rFonts w:ascii="Arial" w:hAnsi="Arial" w:cs="Arial"/>
        </w:rPr>
      </w:pPr>
      <w:bookmarkStart w:id="2" w:name="_Hlk92801760"/>
      <w:r>
        <w:rPr>
          <w:rFonts w:ascii="Arial" w:hAnsi="Arial" w:cs="Arial"/>
        </w:rPr>
        <w:t>Fund copyright licences in full at the amount notified by DfE and all other remaining ongoing commitments are increased by 4.</w:t>
      </w:r>
      <w:r w:rsidR="005B4CAD">
        <w:rPr>
          <w:rFonts w:ascii="Arial" w:hAnsi="Arial" w:cs="Arial"/>
        </w:rPr>
        <w:t>2</w:t>
      </w:r>
      <w:r>
        <w:rPr>
          <w:rFonts w:ascii="Arial" w:hAnsi="Arial" w:cs="Arial"/>
        </w:rPr>
        <w:t>%</w:t>
      </w:r>
      <w:r w:rsidR="005B4CAD">
        <w:rPr>
          <w:rFonts w:ascii="Arial" w:hAnsi="Arial" w:cs="Arial"/>
        </w:rPr>
        <w:t xml:space="preserve"> (CPI as per October 2021)</w:t>
      </w:r>
      <w:r>
        <w:rPr>
          <w:rFonts w:ascii="Arial" w:hAnsi="Arial" w:cs="Arial"/>
        </w:rPr>
        <w:t>. This leaves an unallocated amount of £0.</w:t>
      </w:r>
      <w:r w:rsidR="00952CC9">
        <w:rPr>
          <w:rFonts w:ascii="Arial" w:hAnsi="Arial" w:cs="Arial"/>
        </w:rPr>
        <w:t>1</w:t>
      </w:r>
      <w:r w:rsidR="005B4CAD">
        <w:rPr>
          <w:rFonts w:ascii="Arial" w:hAnsi="Arial" w:cs="Arial"/>
        </w:rPr>
        <w:t>19</w:t>
      </w:r>
      <w:r>
        <w:rPr>
          <w:rFonts w:ascii="Arial" w:hAnsi="Arial" w:cs="Arial"/>
        </w:rPr>
        <w:t>m which could be set aside in a reserve</w:t>
      </w:r>
      <w:r w:rsidR="005B4CAD">
        <w:rPr>
          <w:rFonts w:ascii="Arial" w:hAnsi="Arial" w:cs="Arial"/>
        </w:rPr>
        <w:t>.  There is a</w:t>
      </w:r>
      <w:r w:rsidR="00615771">
        <w:rPr>
          <w:rFonts w:ascii="Arial" w:hAnsi="Arial" w:cs="Arial"/>
        </w:rPr>
        <w:t>n</w:t>
      </w:r>
      <w:r w:rsidR="005B4CAD">
        <w:rPr>
          <w:rFonts w:ascii="Arial" w:hAnsi="Arial" w:cs="Arial"/>
        </w:rPr>
        <w:t xml:space="preserve"> expectation that this could</w:t>
      </w:r>
      <w:r>
        <w:rPr>
          <w:rFonts w:ascii="Arial" w:hAnsi="Arial" w:cs="Arial"/>
        </w:rPr>
        <w:t xml:space="preserve"> help smooth the 20% loss in historic commitments going forward</w:t>
      </w:r>
      <w:r w:rsidR="005B4CAD">
        <w:rPr>
          <w:rFonts w:ascii="Arial" w:hAnsi="Arial" w:cs="Arial"/>
        </w:rPr>
        <w:t xml:space="preserve"> </w:t>
      </w:r>
      <w:r w:rsidR="00615771">
        <w:rPr>
          <w:rFonts w:ascii="Arial" w:hAnsi="Arial" w:cs="Arial"/>
        </w:rPr>
        <w:t xml:space="preserve">and provide some contingency against potential shortfalls in ongoing commitments </w:t>
      </w:r>
      <w:r w:rsidR="005B4CAD">
        <w:rPr>
          <w:rFonts w:ascii="Arial" w:hAnsi="Arial" w:cs="Arial"/>
        </w:rPr>
        <w:t>as historically these budgets have not been increased for some time</w:t>
      </w:r>
      <w:r w:rsidR="00615771">
        <w:rPr>
          <w:rFonts w:ascii="Arial" w:hAnsi="Arial" w:cs="Arial"/>
        </w:rPr>
        <w:t>. Work will need to be undertaken during 2022/23 to review and validate spend in this area</w:t>
      </w:r>
      <w:r w:rsidR="00FB09A7">
        <w:rPr>
          <w:rFonts w:ascii="Arial" w:hAnsi="Arial" w:cs="Arial"/>
        </w:rPr>
        <w:t>.</w:t>
      </w:r>
    </w:p>
    <w:bookmarkEnd w:id="2"/>
    <w:p w14:paraId="2D791923" w14:textId="26D52771" w:rsidR="002B7306" w:rsidRDefault="00127447" w:rsidP="0023372D">
      <w:pPr>
        <w:pStyle w:val="ListParagraph"/>
        <w:numPr>
          <w:ilvl w:val="0"/>
          <w:numId w:val="44"/>
        </w:numPr>
        <w:ind w:right="-1014"/>
        <w:rPr>
          <w:rFonts w:ascii="Arial" w:hAnsi="Arial" w:cs="Arial"/>
        </w:rPr>
      </w:pPr>
      <w:r w:rsidRPr="00127447">
        <w:rPr>
          <w:rFonts w:ascii="Arial" w:hAnsi="Arial" w:cs="Arial"/>
        </w:rPr>
        <w:t>Fund copyright licences in full at the amount notified by DfE and all other remaining ongoing commitments are increased by 6.6%. This utilises the allocation in full</w:t>
      </w:r>
      <w:r>
        <w:rPr>
          <w:rFonts w:ascii="Arial" w:hAnsi="Arial" w:cs="Arial"/>
        </w:rPr>
        <w:t xml:space="preserve"> and leaves nothing aside for contingency purposes</w:t>
      </w:r>
      <w:r w:rsidR="00FB09A7">
        <w:rPr>
          <w:rFonts w:ascii="Arial" w:hAnsi="Arial" w:cs="Arial"/>
        </w:rPr>
        <w:t>. It does recognise that budgets have not been increased for some time.</w:t>
      </w:r>
    </w:p>
    <w:bookmarkEnd w:id="1"/>
    <w:p w14:paraId="2BAFBC6A" w14:textId="5D420248" w:rsidR="00D37235" w:rsidRDefault="00B123A2" w:rsidP="00615771">
      <w:pPr>
        <w:ind w:right="-1180"/>
        <w:rPr>
          <w:rFonts w:ascii="Arial" w:hAnsi="Arial" w:cs="Arial"/>
        </w:rPr>
      </w:pPr>
      <w:r>
        <w:rPr>
          <w:rFonts w:ascii="Arial" w:hAnsi="Arial" w:cs="Arial"/>
        </w:rPr>
        <w:t>Establishing a reserve to help smooth the future “20%” reductions</w:t>
      </w:r>
      <w:r w:rsidR="006643ED">
        <w:rPr>
          <w:rFonts w:ascii="Arial" w:hAnsi="Arial" w:cs="Arial"/>
        </w:rPr>
        <w:t>,</w:t>
      </w:r>
      <w:r>
        <w:rPr>
          <w:rFonts w:ascii="Arial" w:hAnsi="Arial" w:cs="Arial"/>
        </w:rPr>
        <w:t xml:space="preserve"> </w:t>
      </w:r>
      <w:r w:rsidR="00615771">
        <w:rPr>
          <w:rFonts w:ascii="Arial" w:hAnsi="Arial" w:cs="Arial"/>
        </w:rPr>
        <w:t>and provide some contingency for the future</w:t>
      </w:r>
      <w:r w:rsidR="006643ED">
        <w:rPr>
          <w:rFonts w:ascii="Arial" w:hAnsi="Arial" w:cs="Arial"/>
        </w:rPr>
        <w:t>,</w:t>
      </w:r>
      <w:r w:rsidR="00FB09A7">
        <w:rPr>
          <w:rFonts w:ascii="Arial" w:hAnsi="Arial" w:cs="Arial"/>
        </w:rPr>
        <w:t xml:space="preserve"> as well as recognising inflationary pressures</w:t>
      </w:r>
      <w:r w:rsidR="00615771">
        <w:rPr>
          <w:rFonts w:ascii="Arial" w:hAnsi="Arial" w:cs="Arial"/>
        </w:rPr>
        <w:t xml:space="preserve"> </w:t>
      </w:r>
      <w:r>
        <w:rPr>
          <w:rFonts w:ascii="Arial" w:hAnsi="Arial" w:cs="Arial"/>
        </w:rPr>
        <w:t xml:space="preserve">is good financial practice and hence </w:t>
      </w:r>
      <w:r w:rsidR="005B4CAD">
        <w:rPr>
          <w:rFonts w:ascii="Arial" w:hAnsi="Arial" w:cs="Arial"/>
        </w:rPr>
        <w:t>the</w:t>
      </w:r>
      <w:r w:rsidR="00444E69">
        <w:rPr>
          <w:rFonts w:ascii="Arial" w:hAnsi="Arial" w:cs="Arial"/>
        </w:rPr>
        <w:t xml:space="preserve"> preferred option for the local authority is </w:t>
      </w:r>
      <w:r w:rsidR="00615771">
        <w:rPr>
          <w:rFonts w:ascii="Arial" w:hAnsi="Arial" w:cs="Arial"/>
        </w:rPr>
        <w:t>option 2.</w:t>
      </w:r>
    </w:p>
    <w:p w14:paraId="346CD59D" w14:textId="77777777" w:rsidR="00910C75" w:rsidRDefault="00910C75" w:rsidP="00615771">
      <w:pPr>
        <w:ind w:right="-1180"/>
        <w:rPr>
          <w:rFonts w:ascii="Arial" w:hAnsi="Arial" w:cs="Arial"/>
        </w:rPr>
      </w:pPr>
    </w:p>
    <w:p w14:paraId="0FDBFBD6" w14:textId="77777777" w:rsidR="00D37235" w:rsidRPr="002C1DFE" w:rsidRDefault="00D37235" w:rsidP="002C1DFE">
      <w:pPr>
        <w:numPr>
          <w:ilvl w:val="0"/>
          <w:numId w:val="33"/>
        </w:numPr>
        <w:ind w:left="426" w:right="-1180" w:hanging="426"/>
        <w:rPr>
          <w:rFonts w:ascii="Arial" w:hAnsi="Arial" w:cs="Arial"/>
          <w:b/>
          <w:u w:val="single"/>
        </w:rPr>
      </w:pPr>
      <w:r w:rsidRPr="002C1DFE">
        <w:rPr>
          <w:rFonts w:ascii="Arial" w:hAnsi="Arial" w:cs="Arial"/>
          <w:b/>
          <w:u w:val="single"/>
        </w:rPr>
        <w:t>Benchmarking</w:t>
      </w:r>
    </w:p>
    <w:p w14:paraId="4338BC03" w14:textId="3E2D4F62" w:rsidR="00D37235" w:rsidRPr="002C1DFE" w:rsidRDefault="002C1DFE" w:rsidP="006643ED">
      <w:pPr>
        <w:ind w:right="-1180"/>
        <w:rPr>
          <w:rFonts w:ascii="Arial" w:hAnsi="Arial" w:cs="Arial"/>
        </w:rPr>
      </w:pPr>
      <w:r w:rsidRPr="002C1DFE">
        <w:rPr>
          <w:rFonts w:ascii="Arial" w:hAnsi="Arial" w:cs="Arial"/>
        </w:rPr>
        <w:t>Appendix 2 sets out benchmarking information extracted from tables issued by the DfE using 20</w:t>
      </w:r>
      <w:r>
        <w:rPr>
          <w:rFonts w:ascii="Arial" w:hAnsi="Arial" w:cs="Arial"/>
        </w:rPr>
        <w:t>21</w:t>
      </w:r>
      <w:r w:rsidRPr="002C1DFE">
        <w:rPr>
          <w:rFonts w:ascii="Arial" w:hAnsi="Arial" w:cs="Arial"/>
        </w:rPr>
        <w:t>/2</w:t>
      </w:r>
      <w:r>
        <w:rPr>
          <w:rFonts w:ascii="Arial" w:hAnsi="Arial" w:cs="Arial"/>
        </w:rPr>
        <w:t>2</w:t>
      </w:r>
      <w:r w:rsidRPr="002C1DFE">
        <w:rPr>
          <w:rFonts w:ascii="Arial" w:hAnsi="Arial" w:cs="Arial"/>
        </w:rPr>
        <w:t xml:space="preserve"> Section 251 statements</w:t>
      </w:r>
      <w:r>
        <w:rPr>
          <w:rFonts w:ascii="Arial" w:hAnsi="Arial" w:cs="Arial"/>
        </w:rPr>
        <w:t>.</w:t>
      </w:r>
      <w:r w:rsidRPr="002C1DFE">
        <w:rPr>
          <w:rFonts w:ascii="Arial" w:hAnsi="Arial" w:cs="Arial"/>
        </w:rPr>
        <w:t xml:space="preserve"> The columns set out the totality of what LA’s could be budgeting</w:t>
      </w:r>
      <w:r w:rsidR="00FB09A7">
        <w:rPr>
          <w:rFonts w:ascii="Arial" w:hAnsi="Arial" w:cs="Arial"/>
        </w:rPr>
        <w:t xml:space="preserve"> </w:t>
      </w:r>
      <w:r w:rsidRPr="002C1DFE">
        <w:rPr>
          <w:rFonts w:ascii="Arial" w:hAnsi="Arial" w:cs="Arial"/>
        </w:rPr>
        <w:t xml:space="preserve">and highlight those commitments applicable to Birmingham. </w:t>
      </w:r>
      <w:bookmarkStart w:id="3" w:name="_Hlk92878436"/>
      <w:r w:rsidRPr="006643ED">
        <w:rPr>
          <w:rFonts w:ascii="Arial" w:hAnsi="Arial" w:cs="Arial"/>
        </w:rPr>
        <w:t>Overall BCC compares</w:t>
      </w:r>
      <w:r w:rsidR="006643ED" w:rsidRPr="006643ED">
        <w:rPr>
          <w:rFonts w:ascii="Arial" w:hAnsi="Arial" w:cs="Arial"/>
        </w:rPr>
        <w:t xml:space="preserve"> well</w:t>
      </w:r>
      <w:r w:rsidRPr="006643ED">
        <w:rPr>
          <w:rFonts w:ascii="Arial" w:hAnsi="Arial" w:cs="Arial"/>
        </w:rPr>
        <w:t xml:space="preserve"> with our </w:t>
      </w:r>
      <w:r w:rsidR="00752B98" w:rsidRPr="006643ED">
        <w:rPr>
          <w:rFonts w:ascii="Arial" w:hAnsi="Arial" w:cs="Arial"/>
        </w:rPr>
        <w:t>statistical neighbours</w:t>
      </w:r>
      <w:r w:rsidR="006643ED">
        <w:rPr>
          <w:rFonts w:ascii="Arial" w:hAnsi="Arial" w:cs="Arial"/>
        </w:rPr>
        <w:t xml:space="preserve"> </w:t>
      </w:r>
      <w:r w:rsidR="00FB09A7">
        <w:rPr>
          <w:rFonts w:ascii="Arial" w:hAnsi="Arial" w:cs="Arial"/>
        </w:rPr>
        <w:t>except for</w:t>
      </w:r>
      <w:r w:rsidR="00330D0A">
        <w:rPr>
          <w:rFonts w:ascii="Arial" w:hAnsi="Arial" w:cs="Arial"/>
        </w:rPr>
        <w:t xml:space="preserve"> </w:t>
      </w:r>
      <w:r w:rsidR="006643ED" w:rsidRPr="006643ED">
        <w:rPr>
          <w:rFonts w:ascii="Arial" w:hAnsi="Arial" w:cs="Arial"/>
        </w:rPr>
        <w:t xml:space="preserve">the </w:t>
      </w:r>
      <w:r w:rsidR="00330D0A">
        <w:rPr>
          <w:rFonts w:ascii="Arial" w:hAnsi="Arial" w:cs="Arial"/>
        </w:rPr>
        <w:t>“</w:t>
      </w:r>
      <w:r w:rsidR="006643ED" w:rsidRPr="006643ED">
        <w:rPr>
          <w:rFonts w:ascii="Arial" w:hAnsi="Arial" w:cs="Arial"/>
        </w:rPr>
        <w:t>contribution to combined budgets</w:t>
      </w:r>
      <w:r w:rsidR="00330D0A">
        <w:rPr>
          <w:rFonts w:ascii="Arial" w:hAnsi="Arial" w:cs="Arial"/>
        </w:rPr>
        <w:t>”</w:t>
      </w:r>
      <w:r w:rsidR="006643ED">
        <w:rPr>
          <w:rFonts w:ascii="Arial" w:hAnsi="Arial" w:cs="Arial"/>
        </w:rPr>
        <w:t xml:space="preserve"> heading</w:t>
      </w:r>
      <w:r w:rsidR="006643ED" w:rsidRPr="006643ED">
        <w:rPr>
          <w:rFonts w:ascii="Arial" w:hAnsi="Arial" w:cs="Arial"/>
        </w:rPr>
        <w:t xml:space="preserve"> and this is </w:t>
      </w:r>
      <w:r w:rsidR="006643ED">
        <w:rPr>
          <w:rFonts w:ascii="Arial" w:hAnsi="Arial" w:cs="Arial"/>
        </w:rPr>
        <w:t xml:space="preserve">mainly </w:t>
      </w:r>
      <w:r w:rsidR="006643ED" w:rsidRPr="006643ED">
        <w:rPr>
          <w:rFonts w:ascii="Arial" w:hAnsi="Arial" w:cs="Arial"/>
        </w:rPr>
        <w:t>due to the inclusion of our £10.7m of historic equal pay commitments</w:t>
      </w:r>
      <w:r w:rsidRPr="006643ED">
        <w:rPr>
          <w:rFonts w:ascii="Arial" w:hAnsi="Arial" w:cs="Arial"/>
        </w:rPr>
        <w:t>.</w:t>
      </w:r>
    </w:p>
    <w:bookmarkEnd w:id="3"/>
    <w:p w14:paraId="72919B79" w14:textId="77777777" w:rsidR="002C1DFE" w:rsidRPr="002C1DFE" w:rsidRDefault="002C1DFE" w:rsidP="002C1DFE">
      <w:pPr>
        <w:ind w:right="-1014"/>
        <w:rPr>
          <w:rFonts w:ascii="Arial" w:hAnsi="Arial" w:cs="Arial"/>
        </w:rPr>
      </w:pPr>
    </w:p>
    <w:p w14:paraId="57066FBC" w14:textId="77777777" w:rsidR="002C1DFE" w:rsidRDefault="002C1DFE" w:rsidP="002C1DFE">
      <w:pPr>
        <w:numPr>
          <w:ilvl w:val="0"/>
          <w:numId w:val="33"/>
        </w:numPr>
        <w:ind w:left="426" w:right="-1180" w:hanging="426"/>
        <w:rPr>
          <w:rFonts w:ascii="Arial" w:hAnsi="Arial" w:cs="Arial"/>
          <w:b/>
          <w:u w:val="single"/>
        </w:rPr>
      </w:pPr>
      <w:r>
        <w:rPr>
          <w:rFonts w:ascii="Arial" w:hAnsi="Arial" w:cs="Arial"/>
          <w:b/>
          <w:u w:val="single"/>
        </w:rPr>
        <w:t>Service / Commitment details</w:t>
      </w:r>
    </w:p>
    <w:p w14:paraId="2CF96606" w14:textId="77777777" w:rsidR="002C1DFE" w:rsidRDefault="002C1DFE" w:rsidP="002C1DFE">
      <w:pPr>
        <w:pStyle w:val="NoSpacing"/>
        <w:rPr>
          <w:rFonts w:ascii="Arial" w:hAnsi="Arial" w:cs="Arial"/>
          <w:b/>
          <w:u w:val="single"/>
        </w:rPr>
      </w:pPr>
    </w:p>
    <w:p w14:paraId="76CBCF24" w14:textId="77777777" w:rsidR="00293A6A" w:rsidRDefault="002C1DFE" w:rsidP="002C1DFE">
      <w:pPr>
        <w:pStyle w:val="NoSpacing"/>
        <w:spacing w:line="276" w:lineRule="auto"/>
        <w:ind w:right="-1156"/>
        <w:rPr>
          <w:rFonts w:ascii="Arial" w:hAnsi="Arial" w:cs="Arial"/>
        </w:rPr>
      </w:pPr>
      <w:r>
        <w:rPr>
          <w:rFonts w:ascii="Arial" w:hAnsi="Arial" w:cs="Arial"/>
        </w:rPr>
        <w:t>Supporting information is attached as Appendix 3, which gives further details of Admissions as well as Safeguarding and Early Help</w:t>
      </w:r>
      <w:r w:rsidR="00293A6A">
        <w:rPr>
          <w:rFonts w:ascii="Arial" w:hAnsi="Arial" w:cs="Arial"/>
        </w:rPr>
        <w:t xml:space="preserve"> and Appendix 4</w:t>
      </w:r>
      <w:r>
        <w:rPr>
          <w:rFonts w:ascii="Arial" w:hAnsi="Arial" w:cs="Arial"/>
        </w:rPr>
        <w:t xml:space="preserve"> spend on statutory functions. </w:t>
      </w:r>
    </w:p>
    <w:p w14:paraId="03D6858D" w14:textId="77777777" w:rsidR="00293A6A" w:rsidRDefault="00293A6A" w:rsidP="002C1DFE">
      <w:pPr>
        <w:pStyle w:val="NoSpacing"/>
        <w:spacing w:line="276" w:lineRule="auto"/>
        <w:ind w:right="-1156"/>
        <w:rPr>
          <w:rFonts w:ascii="Arial" w:hAnsi="Arial" w:cs="Arial"/>
        </w:rPr>
      </w:pPr>
    </w:p>
    <w:p w14:paraId="57CE343C" w14:textId="530D5241" w:rsidR="002C1DFE" w:rsidRPr="0037336F" w:rsidRDefault="002C1DFE" w:rsidP="002C1DFE">
      <w:pPr>
        <w:pStyle w:val="NoSpacing"/>
        <w:spacing w:line="276" w:lineRule="auto"/>
        <w:ind w:right="-1156"/>
        <w:rPr>
          <w:rFonts w:ascii="Arial" w:hAnsi="Arial" w:cs="Arial"/>
        </w:rPr>
      </w:pPr>
      <w:r>
        <w:rPr>
          <w:rFonts w:ascii="Arial" w:hAnsi="Arial" w:cs="Arial"/>
        </w:rPr>
        <w:lastRenderedPageBreak/>
        <w:t xml:space="preserve">At last </w:t>
      </w:r>
      <w:r w:rsidR="00C87173">
        <w:rPr>
          <w:rFonts w:ascii="Arial" w:hAnsi="Arial" w:cs="Arial"/>
        </w:rPr>
        <w:t>year’s budget setting</w:t>
      </w:r>
      <w:r>
        <w:rPr>
          <w:rFonts w:ascii="Arial" w:hAnsi="Arial" w:cs="Arial"/>
        </w:rPr>
        <w:t xml:space="preserve"> </w:t>
      </w:r>
      <w:r w:rsidR="00C87173">
        <w:rPr>
          <w:rFonts w:ascii="Arial" w:hAnsi="Arial" w:cs="Arial"/>
        </w:rPr>
        <w:t xml:space="preserve">Schools </w:t>
      </w:r>
      <w:r>
        <w:rPr>
          <w:rFonts w:ascii="Arial" w:hAnsi="Arial" w:cs="Arial"/>
        </w:rPr>
        <w:t xml:space="preserve">Forum there was a discussion regarding the resources available and the commissioning of the school improvement contract. The recommendation </w:t>
      </w:r>
      <w:r w:rsidR="00C87173">
        <w:rPr>
          <w:rFonts w:ascii="Arial" w:hAnsi="Arial" w:cs="Arial"/>
        </w:rPr>
        <w:t>t</w:t>
      </w:r>
      <w:r>
        <w:rPr>
          <w:rFonts w:ascii="Arial" w:hAnsi="Arial" w:cs="Arial"/>
        </w:rPr>
        <w:t xml:space="preserve">here </w:t>
      </w:r>
      <w:r w:rsidR="00C87173">
        <w:rPr>
          <w:rFonts w:ascii="Arial" w:hAnsi="Arial" w:cs="Arial"/>
        </w:rPr>
        <w:t>was</w:t>
      </w:r>
      <w:r>
        <w:rPr>
          <w:rFonts w:ascii="Arial" w:hAnsi="Arial" w:cs="Arial"/>
        </w:rPr>
        <w:t xml:space="preserve"> that resources available remain at £1.000m (irrespective of the 20% reduction in historical commitments)</w:t>
      </w:r>
      <w:r w:rsidR="00C87173">
        <w:rPr>
          <w:rFonts w:ascii="Arial" w:hAnsi="Arial" w:cs="Arial"/>
        </w:rPr>
        <w:t xml:space="preserve"> and the proposal for 2022/23 is the same</w:t>
      </w:r>
      <w:r>
        <w:rPr>
          <w:rFonts w:ascii="Arial" w:hAnsi="Arial" w:cs="Arial"/>
        </w:rPr>
        <w:t>.  The tender documentation indicate</w:t>
      </w:r>
      <w:r w:rsidR="00C87173">
        <w:rPr>
          <w:rFonts w:ascii="Arial" w:hAnsi="Arial" w:cs="Arial"/>
        </w:rPr>
        <w:t>d</w:t>
      </w:r>
      <w:r>
        <w:rPr>
          <w:rFonts w:ascii="Arial" w:hAnsi="Arial" w:cs="Arial"/>
        </w:rPr>
        <w:t xml:space="preserve"> that</w:t>
      </w:r>
      <w:r w:rsidR="00E94438">
        <w:rPr>
          <w:rFonts w:ascii="Arial" w:hAnsi="Arial" w:cs="Arial"/>
        </w:rPr>
        <w:t xml:space="preserve"> </w:t>
      </w:r>
      <w:r w:rsidRPr="002C1DFE">
        <w:rPr>
          <w:rFonts w:ascii="Arial" w:hAnsi="Arial" w:cs="Arial"/>
        </w:rPr>
        <w:t>“</w:t>
      </w:r>
      <w:r w:rsidRPr="00E94438">
        <w:rPr>
          <w:rFonts w:ascii="Arial" w:hAnsi="Arial" w:cs="Arial"/>
          <w:i/>
        </w:rPr>
        <w:t>The Council is seeking a potential provider to drive improvement for all Birmingham pupils across all Birmingham schools. This will be achieved by delivering or brokering school improvement activity for maintained schools where required and taking a role in the co-ordination of school led improvement for city-wide standards</w:t>
      </w:r>
      <w:r>
        <w:rPr>
          <w:rFonts w:ascii="Arial" w:hAnsi="Arial" w:cs="Arial"/>
        </w:rPr>
        <w:t>”</w:t>
      </w:r>
      <w:r w:rsidRPr="0037336F">
        <w:rPr>
          <w:rFonts w:ascii="Arial" w:hAnsi="Arial" w:cs="Arial"/>
        </w:rPr>
        <w:t>.</w:t>
      </w:r>
      <w:r>
        <w:rPr>
          <w:rFonts w:ascii="Arial" w:hAnsi="Arial" w:cs="Arial"/>
        </w:rPr>
        <w:t xml:space="preserve"> In keeping with the strategy outlined above, funding for the school improvement contract would need to be </w:t>
      </w:r>
      <w:r w:rsidR="00B123A2">
        <w:rPr>
          <w:rFonts w:ascii="Arial" w:hAnsi="Arial" w:cs="Arial"/>
        </w:rPr>
        <w:t>reviewed annually</w:t>
      </w:r>
      <w:r>
        <w:rPr>
          <w:rFonts w:ascii="Arial" w:hAnsi="Arial" w:cs="Arial"/>
        </w:rPr>
        <w:t xml:space="preserve"> alongside other </w:t>
      </w:r>
      <w:r w:rsidR="00B123A2">
        <w:rPr>
          <w:rFonts w:ascii="Arial" w:hAnsi="Arial" w:cs="Arial"/>
        </w:rPr>
        <w:t xml:space="preserve">budget </w:t>
      </w:r>
      <w:r>
        <w:rPr>
          <w:rFonts w:ascii="Arial" w:hAnsi="Arial" w:cs="Arial"/>
        </w:rPr>
        <w:t>pressures</w:t>
      </w:r>
      <w:r w:rsidR="00B123A2">
        <w:rPr>
          <w:rFonts w:ascii="Arial" w:hAnsi="Arial" w:cs="Arial"/>
        </w:rPr>
        <w:t xml:space="preserve"> given the DfE reduction in grant by 20% each year.</w:t>
      </w:r>
      <w:r>
        <w:rPr>
          <w:rFonts w:ascii="Arial" w:hAnsi="Arial" w:cs="Arial"/>
        </w:rPr>
        <w:t xml:space="preserve"> </w:t>
      </w:r>
    </w:p>
    <w:p w14:paraId="1CB6BC9D" w14:textId="77777777" w:rsidR="002C1DFE" w:rsidRPr="00FD4CF2" w:rsidRDefault="002C1DFE" w:rsidP="002C1DFE">
      <w:pPr>
        <w:pStyle w:val="NoSpacing"/>
        <w:rPr>
          <w:rFonts w:ascii="Arial" w:hAnsi="Arial" w:cs="Arial"/>
          <w:b/>
          <w:color w:val="FF0000"/>
        </w:rPr>
      </w:pPr>
    </w:p>
    <w:p w14:paraId="296E8C35" w14:textId="77777777" w:rsidR="002C1DFE" w:rsidRDefault="002C1DFE" w:rsidP="002C1DFE">
      <w:pPr>
        <w:pStyle w:val="NoSpacing"/>
        <w:ind w:left="720"/>
        <w:rPr>
          <w:rFonts w:ascii="Arial" w:hAnsi="Arial" w:cs="Arial"/>
          <w:b/>
        </w:rPr>
      </w:pPr>
    </w:p>
    <w:p w14:paraId="11059770" w14:textId="77777777" w:rsidR="002C1DFE" w:rsidRPr="002C1DFE" w:rsidRDefault="002C1DFE" w:rsidP="002C1DFE">
      <w:pPr>
        <w:numPr>
          <w:ilvl w:val="0"/>
          <w:numId w:val="33"/>
        </w:numPr>
        <w:ind w:left="426" w:right="-1180" w:hanging="426"/>
        <w:rPr>
          <w:rFonts w:ascii="Arial" w:hAnsi="Arial" w:cs="Arial"/>
          <w:b/>
          <w:u w:val="single"/>
        </w:rPr>
      </w:pPr>
      <w:r w:rsidRPr="002C1DFE">
        <w:rPr>
          <w:rFonts w:ascii="Arial" w:hAnsi="Arial" w:cs="Arial"/>
          <w:b/>
          <w:u w:val="single"/>
        </w:rPr>
        <w:t>Recommendations</w:t>
      </w:r>
    </w:p>
    <w:p w14:paraId="1E8F506C" w14:textId="570FA7FA" w:rsidR="00F76FCE" w:rsidRDefault="00F76FCE" w:rsidP="004E443D">
      <w:pPr>
        <w:pStyle w:val="NoSpacing"/>
        <w:numPr>
          <w:ilvl w:val="0"/>
          <w:numId w:val="41"/>
        </w:numPr>
        <w:ind w:right="-1039"/>
        <w:rPr>
          <w:rFonts w:ascii="Arial" w:hAnsi="Arial" w:cs="Arial"/>
        </w:rPr>
      </w:pPr>
      <w:r w:rsidRPr="00F76FCE">
        <w:rPr>
          <w:rFonts w:ascii="Arial" w:hAnsi="Arial" w:cs="Arial"/>
        </w:rPr>
        <w:t>School Forum to</w:t>
      </w:r>
      <w:r w:rsidR="00EE270C" w:rsidRPr="00EE270C">
        <w:rPr>
          <w:rFonts w:ascii="Arial" w:hAnsi="Arial" w:cs="Arial"/>
        </w:rPr>
        <w:t xml:space="preserve"> agree </w:t>
      </w:r>
      <w:r w:rsidR="00EE270C">
        <w:rPr>
          <w:rFonts w:ascii="Arial" w:hAnsi="Arial" w:cs="Arial"/>
        </w:rPr>
        <w:t>the</w:t>
      </w:r>
      <w:r w:rsidR="00EE270C" w:rsidRPr="00EE270C">
        <w:rPr>
          <w:rFonts w:ascii="Arial" w:hAnsi="Arial" w:cs="Arial"/>
        </w:rPr>
        <w:t xml:space="preserve"> allocation</w:t>
      </w:r>
      <w:r w:rsidR="00EE270C">
        <w:rPr>
          <w:rFonts w:ascii="Arial" w:hAnsi="Arial" w:cs="Arial"/>
        </w:rPr>
        <w:t>s</w:t>
      </w:r>
      <w:r w:rsidR="00EE270C" w:rsidRPr="00EE270C">
        <w:rPr>
          <w:rFonts w:ascii="Arial" w:hAnsi="Arial" w:cs="Arial"/>
        </w:rPr>
        <w:t xml:space="preserve"> for </w:t>
      </w:r>
      <w:r w:rsidR="00EE270C">
        <w:rPr>
          <w:rFonts w:ascii="Arial" w:hAnsi="Arial" w:cs="Arial"/>
        </w:rPr>
        <w:t>202</w:t>
      </w:r>
      <w:r w:rsidR="00AF7D3C">
        <w:rPr>
          <w:rFonts w:ascii="Arial" w:hAnsi="Arial" w:cs="Arial"/>
        </w:rPr>
        <w:t>2</w:t>
      </w:r>
      <w:r w:rsidR="00EE270C">
        <w:rPr>
          <w:rFonts w:ascii="Arial" w:hAnsi="Arial" w:cs="Arial"/>
        </w:rPr>
        <w:t>/</w:t>
      </w:r>
      <w:r w:rsidR="00EE270C" w:rsidRPr="00615771">
        <w:rPr>
          <w:rFonts w:ascii="Arial" w:hAnsi="Arial" w:cs="Arial"/>
        </w:rPr>
        <w:t>2</w:t>
      </w:r>
      <w:r w:rsidR="00AF7D3C" w:rsidRPr="00615771">
        <w:rPr>
          <w:rFonts w:ascii="Arial" w:hAnsi="Arial" w:cs="Arial"/>
        </w:rPr>
        <w:t>3</w:t>
      </w:r>
      <w:r w:rsidR="00EE270C" w:rsidRPr="00615771">
        <w:rPr>
          <w:rFonts w:ascii="Arial" w:hAnsi="Arial" w:cs="Arial"/>
        </w:rPr>
        <w:t xml:space="preserve"> </w:t>
      </w:r>
      <w:r w:rsidR="00444E69" w:rsidRPr="00615771">
        <w:rPr>
          <w:rFonts w:ascii="Arial" w:hAnsi="Arial" w:cs="Arial"/>
        </w:rPr>
        <w:t xml:space="preserve">option </w:t>
      </w:r>
      <w:r w:rsidR="00615771" w:rsidRPr="00615771">
        <w:rPr>
          <w:rFonts w:ascii="Arial" w:hAnsi="Arial" w:cs="Arial"/>
        </w:rPr>
        <w:t>2</w:t>
      </w:r>
      <w:r w:rsidR="00444E69">
        <w:rPr>
          <w:rFonts w:ascii="Arial" w:hAnsi="Arial" w:cs="Arial"/>
        </w:rPr>
        <w:t xml:space="preserve"> </w:t>
      </w:r>
      <w:r w:rsidR="00EE270C">
        <w:rPr>
          <w:rFonts w:ascii="Arial" w:hAnsi="Arial" w:cs="Arial"/>
        </w:rPr>
        <w:t>as outlined in Appendix 1.</w:t>
      </w:r>
      <w:r w:rsidR="00EE270C" w:rsidRPr="00EE270C">
        <w:rPr>
          <w:rFonts w:ascii="Arial" w:hAnsi="Arial" w:cs="Arial"/>
        </w:rPr>
        <w:t xml:space="preserve"> </w:t>
      </w:r>
    </w:p>
    <w:p w14:paraId="7B0D0391" w14:textId="77777777" w:rsidR="00D12A52" w:rsidRDefault="00D12A52" w:rsidP="00F76FCE">
      <w:pPr>
        <w:pStyle w:val="NoSpacing"/>
        <w:ind w:right="-1039"/>
        <w:rPr>
          <w:rFonts w:ascii="Arial" w:hAnsi="Arial" w:cs="Arial"/>
        </w:rPr>
      </w:pPr>
    </w:p>
    <w:p w14:paraId="3D4EC4B1" w14:textId="6B4B4402" w:rsidR="00D12A52" w:rsidRDefault="00D12A52" w:rsidP="004E443D">
      <w:pPr>
        <w:pStyle w:val="NoSpacing"/>
        <w:numPr>
          <w:ilvl w:val="0"/>
          <w:numId w:val="41"/>
        </w:numPr>
        <w:ind w:right="-1039"/>
        <w:rPr>
          <w:rFonts w:ascii="Arial" w:hAnsi="Arial" w:cs="Arial"/>
        </w:rPr>
      </w:pPr>
      <w:r>
        <w:rPr>
          <w:rFonts w:ascii="Arial" w:hAnsi="Arial" w:cs="Arial"/>
        </w:rPr>
        <w:t xml:space="preserve">Schools Forum request that the Local Authority continues discussions with DfE regarding exempting the £0.660m budget (that funds prudential borrowing to cover school equal pay costs </w:t>
      </w:r>
      <w:r w:rsidR="004E443D">
        <w:rPr>
          <w:rFonts w:ascii="Arial" w:hAnsi="Arial" w:cs="Arial"/>
        </w:rPr>
        <w:t>for manual staff)</w:t>
      </w:r>
      <w:r>
        <w:rPr>
          <w:rFonts w:ascii="Arial" w:hAnsi="Arial" w:cs="Arial"/>
        </w:rPr>
        <w:t xml:space="preserve"> </w:t>
      </w:r>
      <w:r w:rsidR="004E443D">
        <w:rPr>
          <w:rFonts w:ascii="Arial" w:hAnsi="Arial" w:cs="Arial"/>
        </w:rPr>
        <w:t>from the 20% funding reduction calculations of the CSSB</w:t>
      </w:r>
      <w:r w:rsidR="00FB09A7">
        <w:rPr>
          <w:rFonts w:ascii="Arial" w:hAnsi="Arial" w:cs="Arial"/>
        </w:rPr>
        <w:t>.</w:t>
      </w:r>
    </w:p>
    <w:p w14:paraId="11DC8D40" w14:textId="77777777" w:rsidR="00444E69" w:rsidRDefault="00444E69" w:rsidP="00444E69">
      <w:pPr>
        <w:pStyle w:val="NoSpacing"/>
        <w:ind w:left="720" w:right="-1039"/>
        <w:rPr>
          <w:rFonts w:ascii="Arial" w:hAnsi="Arial" w:cs="Arial"/>
        </w:rPr>
      </w:pPr>
    </w:p>
    <w:p w14:paraId="552386A6" w14:textId="4BDE5B1D" w:rsidR="002B7306" w:rsidRDefault="002B7306" w:rsidP="004E443D">
      <w:pPr>
        <w:pStyle w:val="NoSpacing"/>
        <w:numPr>
          <w:ilvl w:val="0"/>
          <w:numId w:val="41"/>
        </w:numPr>
        <w:ind w:right="-1039"/>
        <w:rPr>
          <w:rFonts w:ascii="Arial" w:hAnsi="Arial" w:cs="Arial"/>
        </w:rPr>
      </w:pPr>
      <w:r>
        <w:rPr>
          <w:rFonts w:ascii="Arial" w:hAnsi="Arial" w:cs="Arial"/>
        </w:rPr>
        <w:t xml:space="preserve">The Local authority </w:t>
      </w:r>
      <w:r w:rsidR="00444E69">
        <w:rPr>
          <w:rFonts w:ascii="Arial" w:hAnsi="Arial" w:cs="Arial"/>
        </w:rPr>
        <w:t>agrees to review the funding arrangements for</w:t>
      </w:r>
      <w:r w:rsidR="00AB70BE">
        <w:rPr>
          <w:rFonts w:ascii="Arial" w:hAnsi="Arial" w:cs="Arial"/>
        </w:rPr>
        <w:t xml:space="preserve"> </w:t>
      </w:r>
      <w:r w:rsidR="00444E69">
        <w:rPr>
          <w:rFonts w:ascii="Arial" w:hAnsi="Arial" w:cs="Arial"/>
        </w:rPr>
        <w:t>historic</w:t>
      </w:r>
      <w:r w:rsidR="00AB70BE">
        <w:rPr>
          <w:rFonts w:ascii="Arial" w:hAnsi="Arial" w:cs="Arial"/>
        </w:rPr>
        <w:t xml:space="preserve"> </w:t>
      </w:r>
      <w:r w:rsidR="00444E69">
        <w:rPr>
          <w:rFonts w:ascii="Arial" w:hAnsi="Arial" w:cs="Arial"/>
        </w:rPr>
        <w:t>commitments and will consult with Schools Forum in the Autumn term regarding plans as to how th</w:t>
      </w:r>
      <w:r w:rsidR="00FB09A7">
        <w:rPr>
          <w:rFonts w:ascii="Arial" w:hAnsi="Arial" w:cs="Arial"/>
        </w:rPr>
        <w:t>ese</w:t>
      </w:r>
      <w:r w:rsidR="00444E69">
        <w:rPr>
          <w:rFonts w:ascii="Arial" w:hAnsi="Arial" w:cs="Arial"/>
        </w:rPr>
        <w:t xml:space="preserve"> can be reduced</w:t>
      </w:r>
    </w:p>
    <w:p w14:paraId="4EF16333" w14:textId="77777777" w:rsidR="00805C18" w:rsidRDefault="00805C18" w:rsidP="00F76FCE">
      <w:pPr>
        <w:pStyle w:val="NoSpacing"/>
        <w:ind w:right="-1039"/>
        <w:rPr>
          <w:rFonts w:ascii="Arial" w:hAnsi="Arial" w:cs="Arial"/>
        </w:rPr>
      </w:pPr>
    </w:p>
    <w:p w14:paraId="1D776DA7" w14:textId="77777777" w:rsidR="00805C18" w:rsidRDefault="00805C18" w:rsidP="00F76FCE">
      <w:pPr>
        <w:pStyle w:val="NoSpacing"/>
        <w:ind w:right="-1039"/>
        <w:rPr>
          <w:rFonts w:ascii="Arial" w:hAnsi="Arial" w:cs="Arial"/>
        </w:rPr>
        <w:sectPr w:rsidR="00805C18" w:rsidSect="00B83102">
          <w:headerReference w:type="default" r:id="rId13"/>
          <w:footerReference w:type="default" r:id="rId14"/>
          <w:pgSz w:w="11906" w:h="16838"/>
          <w:pgMar w:top="1079" w:right="2408" w:bottom="1440" w:left="1440" w:header="708" w:footer="708" w:gutter="0"/>
          <w:cols w:space="708"/>
          <w:docGrid w:linePitch="360"/>
        </w:sectPr>
      </w:pPr>
    </w:p>
    <w:p w14:paraId="09B65625" w14:textId="77777777" w:rsidR="00805C18" w:rsidRPr="00805C18" w:rsidRDefault="00805C18" w:rsidP="00805C18">
      <w:pPr>
        <w:pStyle w:val="NoSpacing"/>
        <w:ind w:right="-1039"/>
        <w:jc w:val="right"/>
        <w:rPr>
          <w:rFonts w:ascii="Arial" w:hAnsi="Arial" w:cs="Arial"/>
          <w:b/>
        </w:rPr>
      </w:pPr>
      <w:r w:rsidRPr="00805C18">
        <w:rPr>
          <w:rFonts w:ascii="Arial" w:hAnsi="Arial" w:cs="Arial"/>
          <w:b/>
        </w:rPr>
        <w:lastRenderedPageBreak/>
        <w:t>Appendix 1</w:t>
      </w:r>
    </w:p>
    <w:p w14:paraId="33137EF1" w14:textId="77777777" w:rsidR="00805C18" w:rsidRDefault="00805C18" w:rsidP="00F76FCE">
      <w:pPr>
        <w:pStyle w:val="NoSpacing"/>
        <w:ind w:right="-1039"/>
        <w:rPr>
          <w:rFonts w:ascii="Arial" w:hAnsi="Arial" w:cs="Arial"/>
        </w:rPr>
      </w:pPr>
    </w:p>
    <w:p w14:paraId="0DF9B18E" w14:textId="5D298384" w:rsidR="00472ADA" w:rsidRDefault="00472ADA" w:rsidP="00F76FCE">
      <w:pPr>
        <w:pStyle w:val="NoSpacing"/>
        <w:ind w:right="-1039"/>
        <w:rPr>
          <w:rFonts w:ascii="Arial" w:hAnsi="Arial" w:cs="Arial"/>
        </w:rPr>
      </w:pPr>
    </w:p>
    <w:p w14:paraId="3F1D4B6F" w14:textId="378903C4" w:rsidR="00472ADA" w:rsidRDefault="00A758BD" w:rsidP="00F76FCE">
      <w:pPr>
        <w:pStyle w:val="NoSpacing"/>
        <w:ind w:right="-1039"/>
        <w:rPr>
          <w:rFonts w:ascii="Arial" w:hAnsi="Arial" w:cs="Arial"/>
        </w:rPr>
      </w:pPr>
      <w:r w:rsidRPr="00A758BD">
        <w:rPr>
          <w:noProof/>
        </w:rPr>
        <w:drawing>
          <wp:inline distT="0" distB="0" distL="0" distR="0" wp14:anchorId="585B94B6" wp14:editId="7CBF7A07">
            <wp:extent cx="5116830" cy="8321675"/>
            <wp:effectExtent l="0" t="0" r="7620" b="3175"/>
            <wp:docPr id="1" name="Picture 1" descr="Appendix 1.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ppendix 1. ">
                      <a:extLst>
                        <a:ext uri="{C183D7F6-B498-43B3-948B-1728B52AA6E4}">
                          <adec:decorative xmlns:adec="http://schemas.microsoft.com/office/drawing/2017/decorative" val="0"/>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16830" cy="8321675"/>
                    </a:xfrm>
                    <a:prstGeom prst="rect">
                      <a:avLst/>
                    </a:prstGeom>
                    <a:noFill/>
                    <a:ln>
                      <a:noFill/>
                    </a:ln>
                  </pic:spPr>
                </pic:pic>
              </a:graphicData>
            </a:graphic>
          </wp:inline>
        </w:drawing>
      </w:r>
    </w:p>
    <w:p w14:paraId="61E3B9AA" w14:textId="77777777" w:rsidR="00472ADA" w:rsidRDefault="00472ADA" w:rsidP="00F76FCE">
      <w:pPr>
        <w:pStyle w:val="NoSpacing"/>
        <w:ind w:right="-1039"/>
      </w:pPr>
    </w:p>
    <w:p w14:paraId="78568E83" w14:textId="77777777" w:rsidR="00472ADA" w:rsidRDefault="00472ADA" w:rsidP="00F76FCE">
      <w:pPr>
        <w:pStyle w:val="NoSpacing"/>
        <w:ind w:right="-1039"/>
        <w:sectPr w:rsidR="00472ADA" w:rsidSect="00805C18">
          <w:pgSz w:w="11906" w:h="16838"/>
          <w:pgMar w:top="1079" w:right="2408" w:bottom="1440" w:left="1440" w:header="708" w:footer="708" w:gutter="0"/>
          <w:cols w:space="708"/>
          <w:docGrid w:linePitch="360"/>
        </w:sectPr>
      </w:pPr>
    </w:p>
    <w:p w14:paraId="2BA63D0A" w14:textId="77777777" w:rsidR="00DD672B" w:rsidRDefault="00DD672B" w:rsidP="00DD672B">
      <w:pPr>
        <w:pStyle w:val="NoSpacing"/>
        <w:ind w:left="11520" w:right="-1039" w:firstLine="720"/>
        <w:jc w:val="center"/>
        <w:rPr>
          <w:rFonts w:ascii="Arial" w:hAnsi="Arial" w:cs="Arial"/>
          <w:b/>
        </w:rPr>
      </w:pPr>
      <w:r w:rsidRPr="00805C18">
        <w:rPr>
          <w:rFonts w:ascii="Arial" w:hAnsi="Arial" w:cs="Arial"/>
          <w:b/>
        </w:rPr>
        <w:lastRenderedPageBreak/>
        <w:t xml:space="preserve">Appendix </w:t>
      </w:r>
      <w:r>
        <w:rPr>
          <w:rFonts w:ascii="Arial" w:hAnsi="Arial" w:cs="Arial"/>
          <w:b/>
        </w:rPr>
        <w:t>2</w:t>
      </w:r>
    </w:p>
    <w:p w14:paraId="23806F71" w14:textId="77777777" w:rsidR="00DD672B" w:rsidRPr="00805C18" w:rsidRDefault="00DD672B" w:rsidP="00D37235">
      <w:pPr>
        <w:pStyle w:val="NoSpacing"/>
        <w:ind w:right="-1039"/>
        <w:jc w:val="center"/>
        <w:rPr>
          <w:rFonts w:ascii="Arial" w:hAnsi="Arial" w:cs="Arial"/>
          <w:b/>
        </w:rPr>
      </w:pPr>
      <w:r>
        <w:rPr>
          <w:rFonts w:ascii="Arial" w:hAnsi="Arial" w:cs="Arial"/>
          <w:b/>
        </w:rPr>
        <w:t>Central Services Block</w:t>
      </w:r>
      <w:r w:rsidR="00D37235">
        <w:rPr>
          <w:rFonts w:ascii="Arial" w:hAnsi="Arial" w:cs="Arial"/>
          <w:b/>
        </w:rPr>
        <w:t>:</w:t>
      </w:r>
      <w:r>
        <w:rPr>
          <w:rFonts w:ascii="Arial" w:hAnsi="Arial" w:cs="Arial"/>
          <w:b/>
        </w:rPr>
        <w:t xml:space="preserve"> Benchmarking Data </w:t>
      </w:r>
      <w:r w:rsidR="00D37235">
        <w:rPr>
          <w:rFonts w:ascii="Arial" w:hAnsi="Arial" w:cs="Arial"/>
          <w:b/>
        </w:rPr>
        <w:t>2021/22 on a Net per pupil basis</w:t>
      </w:r>
    </w:p>
    <w:p w14:paraId="11400E7B" w14:textId="77777777" w:rsidR="00472ADA" w:rsidRDefault="00472ADA" w:rsidP="00DD672B">
      <w:pPr>
        <w:pStyle w:val="NoSpacing"/>
        <w:ind w:right="-1039"/>
        <w:jc w:val="right"/>
      </w:pPr>
    </w:p>
    <w:p w14:paraId="617842A6" w14:textId="77777777" w:rsidR="00DD672B" w:rsidRDefault="00DD672B" w:rsidP="00F76FCE">
      <w:pPr>
        <w:pStyle w:val="NoSpacing"/>
        <w:ind w:right="-1039"/>
      </w:pPr>
    </w:p>
    <w:p w14:paraId="5DA1BC76" w14:textId="2BC63B8F" w:rsidR="00472ADA" w:rsidRDefault="006643ED" w:rsidP="00F76FCE">
      <w:pPr>
        <w:pStyle w:val="NoSpacing"/>
        <w:ind w:right="-1039"/>
        <w:sectPr w:rsidR="00472ADA" w:rsidSect="00472ADA">
          <w:pgSz w:w="16838" w:h="11906" w:orient="landscape"/>
          <w:pgMar w:top="1418" w:right="1440" w:bottom="1276" w:left="1079" w:header="708" w:footer="708" w:gutter="0"/>
          <w:cols w:space="708"/>
          <w:docGrid w:linePitch="360"/>
        </w:sectPr>
      </w:pPr>
      <w:r w:rsidRPr="006643ED">
        <w:rPr>
          <w:noProof/>
        </w:rPr>
        <w:drawing>
          <wp:inline distT="0" distB="0" distL="0" distR="0" wp14:anchorId="57C86512" wp14:editId="2ABCD4AF">
            <wp:extent cx="9092565" cy="4834890"/>
            <wp:effectExtent l="0" t="0" r="0" b="3810"/>
            <wp:docPr id="3" name="Picture 3" descr="Appendix 2">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ppendix 2">
                      <a:extLst>
                        <a:ext uri="{C183D7F6-B498-43B3-948B-1728B52AA6E4}">
                          <adec:decorative xmlns:adec="http://schemas.microsoft.com/office/drawing/2017/decorative" val="0"/>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092565" cy="4834890"/>
                    </a:xfrm>
                    <a:prstGeom prst="rect">
                      <a:avLst/>
                    </a:prstGeom>
                    <a:noFill/>
                    <a:ln>
                      <a:noFill/>
                    </a:ln>
                  </pic:spPr>
                </pic:pic>
              </a:graphicData>
            </a:graphic>
          </wp:inline>
        </w:drawing>
      </w:r>
    </w:p>
    <w:p w14:paraId="20C7D2C3" w14:textId="77777777" w:rsidR="00D163C6" w:rsidRPr="00D163C6" w:rsidRDefault="00D163C6" w:rsidP="00D163C6">
      <w:pPr>
        <w:pStyle w:val="NoSpacing"/>
        <w:ind w:right="-1039"/>
        <w:jc w:val="right"/>
        <w:rPr>
          <w:b/>
          <w:sz w:val="24"/>
          <w:szCs w:val="24"/>
        </w:rPr>
      </w:pPr>
      <w:r w:rsidRPr="00D163C6">
        <w:rPr>
          <w:b/>
          <w:sz w:val="24"/>
          <w:szCs w:val="24"/>
        </w:rPr>
        <w:lastRenderedPageBreak/>
        <w:t>Appendix 3</w:t>
      </w:r>
    </w:p>
    <w:p w14:paraId="2CED38CA" w14:textId="77777777" w:rsidR="00D163C6" w:rsidRDefault="00D163C6" w:rsidP="00D163C6">
      <w:pPr>
        <w:pStyle w:val="NoSpacing"/>
        <w:ind w:right="-1039"/>
        <w:jc w:val="right"/>
        <w:rPr>
          <w:b/>
        </w:rPr>
      </w:pPr>
    </w:p>
    <w:p w14:paraId="23A86ED5" w14:textId="77777777" w:rsidR="00D163C6" w:rsidRPr="00D163C6" w:rsidRDefault="00D163C6" w:rsidP="00D163C6">
      <w:pPr>
        <w:spacing w:after="0" w:line="240" w:lineRule="auto"/>
        <w:jc w:val="center"/>
        <w:rPr>
          <w:rFonts w:ascii="Arial" w:hAnsi="Arial" w:cs="Arial"/>
          <w:sz w:val="24"/>
          <w:szCs w:val="24"/>
        </w:rPr>
      </w:pPr>
      <w:r w:rsidRPr="00D163C6">
        <w:rPr>
          <w:rFonts w:ascii="Arial" w:hAnsi="Arial" w:cs="Arial"/>
          <w:b/>
          <w:sz w:val="28"/>
          <w:szCs w:val="28"/>
          <w:u w:val="single"/>
        </w:rPr>
        <w:t xml:space="preserve">School Admissions </w:t>
      </w:r>
    </w:p>
    <w:p w14:paraId="0FB0A5DE" w14:textId="77777777" w:rsidR="00D163C6" w:rsidRPr="00D163C6" w:rsidRDefault="00D163C6" w:rsidP="00D163C6">
      <w:pPr>
        <w:spacing w:after="0" w:line="240" w:lineRule="auto"/>
        <w:jc w:val="both"/>
        <w:rPr>
          <w:rFonts w:ascii="Arial" w:hAnsi="Arial" w:cs="Arial"/>
          <w:sz w:val="24"/>
          <w:szCs w:val="24"/>
        </w:rPr>
      </w:pPr>
    </w:p>
    <w:p w14:paraId="06D7E9E1" w14:textId="77777777" w:rsidR="00D163C6" w:rsidRPr="00D163C6" w:rsidRDefault="00D163C6" w:rsidP="00D163C6">
      <w:pPr>
        <w:spacing w:after="0" w:line="240" w:lineRule="auto"/>
        <w:ind w:left="360"/>
        <w:jc w:val="both"/>
        <w:rPr>
          <w:rFonts w:ascii="Arial" w:hAnsi="Arial" w:cs="Arial"/>
          <w:sz w:val="24"/>
          <w:szCs w:val="24"/>
        </w:rPr>
      </w:pPr>
    </w:p>
    <w:p w14:paraId="24340101" w14:textId="77777777" w:rsidR="00D163C6" w:rsidRPr="00D163C6" w:rsidRDefault="00D163C6" w:rsidP="00FD4CF2">
      <w:pPr>
        <w:spacing w:after="0" w:line="240" w:lineRule="auto"/>
        <w:ind w:right="-992"/>
        <w:jc w:val="both"/>
        <w:rPr>
          <w:rFonts w:ascii="Arial" w:hAnsi="Arial" w:cs="Arial"/>
          <w:b/>
          <w:sz w:val="24"/>
          <w:szCs w:val="24"/>
          <w:u w:val="single"/>
        </w:rPr>
      </w:pPr>
      <w:r w:rsidRPr="00D163C6">
        <w:rPr>
          <w:rFonts w:ascii="Arial" w:hAnsi="Arial" w:cs="Arial"/>
          <w:b/>
          <w:sz w:val="24"/>
          <w:szCs w:val="24"/>
          <w:u w:val="single"/>
        </w:rPr>
        <w:t>Introduction &amp; Background</w:t>
      </w:r>
    </w:p>
    <w:p w14:paraId="7A1759E7" w14:textId="77777777" w:rsidR="00D163C6" w:rsidRPr="00D163C6" w:rsidRDefault="00D163C6" w:rsidP="00FD4CF2">
      <w:pPr>
        <w:spacing w:after="0" w:line="240" w:lineRule="auto"/>
        <w:ind w:right="-992"/>
        <w:jc w:val="both"/>
        <w:rPr>
          <w:rFonts w:ascii="Arial" w:hAnsi="Arial" w:cs="Arial"/>
          <w:b/>
          <w:sz w:val="24"/>
          <w:szCs w:val="24"/>
          <w:u w:val="single"/>
        </w:rPr>
      </w:pPr>
    </w:p>
    <w:p w14:paraId="6CE0EB40" w14:textId="77777777" w:rsidR="00D163C6" w:rsidRPr="00D163C6" w:rsidRDefault="00D163C6" w:rsidP="00FD4CF2">
      <w:pPr>
        <w:spacing w:after="0" w:line="240" w:lineRule="auto"/>
        <w:ind w:right="-992"/>
        <w:jc w:val="both"/>
        <w:rPr>
          <w:rFonts w:ascii="Arial" w:hAnsi="Arial" w:cs="Arial"/>
          <w:sz w:val="24"/>
          <w:szCs w:val="24"/>
        </w:rPr>
      </w:pPr>
      <w:r w:rsidRPr="00D163C6">
        <w:rPr>
          <w:rFonts w:ascii="Arial" w:hAnsi="Arial" w:cs="Arial"/>
          <w:sz w:val="24"/>
          <w:szCs w:val="24"/>
        </w:rPr>
        <w:t>The School Admission and Fair Access Service provides the following key functions:</w:t>
      </w:r>
    </w:p>
    <w:p w14:paraId="0BADEBAB" w14:textId="77777777" w:rsidR="00D163C6" w:rsidRPr="00D163C6" w:rsidRDefault="00D163C6" w:rsidP="00FD4CF2">
      <w:pPr>
        <w:spacing w:after="0" w:line="240" w:lineRule="auto"/>
        <w:ind w:right="-992"/>
        <w:jc w:val="both"/>
        <w:rPr>
          <w:rFonts w:ascii="Arial" w:hAnsi="Arial" w:cs="Arial"/>
          <w:b/>
          <w:sz w:val="24"/>
          <w:szCs w:val="24"/>
          <w:u w:val="single"/>
        </w:rPr>
      </w:pPr>
    </w:p>
    <w:p w14:paraId="2A36A483" w14:textId="77777777" w:rsidR="00D163C6" w:rsidRPr="00D163C6" w:rsidRDefault="00D163C6" w:rsidP="00FD4CF2">
      <w:pPr>
        <w:numPr>
          <w:ilvl w:val="0"/>
          <w:numId w:val="34"/>
        </w:numPr>
        <w:spacing w:after="0"/>
        <w:ind w:left="1418" w:right="-992" w:hanging="567"/>
        <w:jc w:val="both"/>
        <w:rPr>
          <w:rFonts w:ascii="Arial" w:hAnsi="Arial" w:cs="Arial"/>
          <w:sz w:val="24"/>
          <w:szCs w:val="24"/>
        </w:rPr>
      </w:pPr>
      <w:r w:rsidRPr="00D163C6">
        <w:rPr>
          <w:rFonts w:ascii="Arial" w:hAnsi="Arial" w:cs="Arial"/>
          <w:sz w:val="24"/>
          <w:szCs w:val="24"/>
        </w:rPr>
        <w:t>Primary &amp; Secondary normal admissions round (and year 2-3 and 14-19 transfers)</w:t>
      </w:r>
    </w:p>
    <w:p w14:paraId="0D520192" w14:textId="77777777" w:rsidR="00D163C6" w:rsidRPr="00D163C6" w:rsidRDefault="00D163C6" w:rsidP="00FD4CF2">
      <w:pPr>
        <w:numPr>
          <w:ilvl w:val="0"/>
          <w:numId w:val="34"/>
        </w:numPr>
        <w:spacing w:after="0"/>
        <w:ind w:left="1418" w:right="-992" w:hanging="567"/>
        <w:jc w:val="both"/>
        <w:rPr>
          <w:rFonts w:ascii="Arial" w:hAnsi="Arial" w:cs="Arial"/>
          <w:sz w:val="24"/>
          <w:szCs w:val="24"/>
        </w:rPr>
      </w:pPr>
      <w:r w:rsidRPr="00D163C6">
        <w:rPr>
          <w:rFonts w:ascii="Arial" w:hAnsi="Arial" w:cs="Arial"/>
          <w:sz w:val="24"/>
          <w:szCs w:val="24"/>
        </w:rPr>
        <w:t>In-year admissions</w:t>
      </w:r>
    </w:p>
    <w:p w14:paraId="1E12F88F" w14:textId="77777777" w:rsidR="00D163C6" w:rsidRPr="00D163C6" w:rsidRDefault="00D163C6" w:rsidP="00FD4CF2">
      <w:pPr>
        <w:numPr>
          <w:ilvl w:val="0"/>
          <w:numId w:val="34"/>
        </w:numPr>
        <w:spacing w:after="0"/>
        <w:ind w:left="1418" w:right="-992" w:hanging="567"/>
        <w:jc w:val="both"/>
        <w:rPr>
          <w:rFonts w:ascii="Arial" w:hAnsi="Arial" w:cs="Arial"/>
          <w:sz w:val="24"/>
          <w:szCs w:val="24"/>
        </w:rPr>
      </w:pPr>
      <w:r w:rsidRPr="00D163C6">
        <w:rPr>
          <w:rFonts w:ascii="Arial" w:hAnsi="Arial" w:cs="Arial"/>
          <w:sz w:val="24"/>
          <w:szCs w:val="24"/>
        </w:rPr>
        <w:t>Fair Access</w:t>
      </w:r>
    </w:p>
    <w:p w14:paraId="58D65A78" w14:textId="77777777" w:rsidR="00D163C6" w:rsidRPr="00D163C6" w:rsidRDefault="00D163C6" w:rsidP="00FD4CF2">
      <w:pPr>
        <w:numPr>
          <w:ilvl w:val="0"/>
          <w:numId w:val="34"/>
        </w:numPr>
        <w:spacing w:after="0"/>
        <w:ind w:left="1418" w:right="-992" w:hanging="567"/>
        <w:jc w:val="both"/>
        <w:rPr>
          <w:rFonts w:ascii="Arial" w:hAnsi="Arial" w:cs="Arial"/>
          <w:sz w:val="24"/>
          <w:szCs w:val="24"/>
        </w:rPr>
      </w:pPr>
      <w:r w:rsidRPr="00D163C6">
        <w:rPr>
          <w:rFonts w:ascii="Arial" w:hAnsi="Arial" w:cs="Arial"/>
          <w:sz w:val="24"/>
          <w:szCs w:val="24"/>
        </w:rPr>
        <w:t>Appeals</w:t>
      </w:r>
    </w:p>
    <w:p w14:paraId="3259833D" w14:textId="77777777" w:rsidR="00D163C6" w:rsidRPr="00D163C6" w:rsidRDefault="00D163C6" w:rsidP="00FD4CF2">
      <w:pPr>
        <w:numPr>
          <w:ilvl w:val="0"/>
          <w:numId w:val="34"/>
        </w:numPr>
        <w:spacing w:after="0"/>
        <w:ind w:left="1418" w:right="-992" w:hanging="567"/>
        <w:jc w:val="both"/>
        <w:rPr>
          <w:rFonts w:ascii="Arial" w:hAnsi="Arial" w:cs="Arial"/>
          <w:sz w:val="24"/>
          <w:szCs w:val="24"/>
        </w:rPr>
      </w:pPr>
      <w:r w:rsidRPr="00D163C6">
        <w:rPr>
          <w:rFonts w:ascii="Arial" w:hAnsi="Arial" w:cs="Arial"/>
          <w:sz w:val="24"/>
          <w:szCs w:val="24"/>
        </w:rPr>
        <w:t>Admission arrangements</w:t>
      </w:r>
    </w:p>
    <w:p w14:paraId="2F0C863D" w14:textId="77777777" w:rsidR="00D163C6" w:rsidRPr="00D163C6" w:rsidRDefault="00D163C6" w:rsidP="00FD4CF2">
      <w:pPr>
        <w:numPr>
          <w:ilvl w:val="0"/>
          <w:numId w:val="34"/>
        </w:numPr>
        <w:spacing w:after="0"/>
        <w:ind w:left="1418" w:right="-992" w:hanging="567"/>
        <w:jc w:val="both"/>
        <w:rPr>
          <w:rFonts w:ascii="Arial" w:hAnsi="Arial" w:cs="Arial"/>
          <w:sz w:val="24"/>
          <w:szCs w:val="24"/>
        </w:rPr>
      </w:pPr>
      <w:r w:rsidRPr="00D163C6">
        <w:rPr>
          <w:rFonts w:ascii="Arial" w:hAnsi="Arial" w:cs="Arial"/>
          <w:sz w:val="24"/>
          <w:szCs w:val="24"/>
        </w:rPr>
        <w:t>Pupil tracking</w:t>
      </w:r>
    </w:p>
    <w:p w14:paraId="0E86AC27" w14:textId="77777777" w:rsidR="00D163C6" w:rsidRPr="00D163C6" w:rsidRDefault="00D163C6" w:rsidP="00FD4CF2">
      <w:pPr>
        <w:spacing w:after="0" w:line="240" w:lineRule="auto"/>
        <w:ind w:left="1418" w:right="-992" w:hanging="567"/>
        <w:jc w:val="both"/>
        <w:rPr>
          <w:rFonts w:ascii="Arial" w:hAnsi="Arial" w:cs="Arial"/>
          <w:b/>
          <w:sz w:val="24"/>
          <w:szCs w:val="24"/>
          <w:u w:val="single"/>
        </w:rPr>
      </w:pPr>
    </w:p>
    <w:p w14:paraId="5F870D69" w14:textId="77777777" w:rsidR="00D163C6" w:rsidRPr="00D163C6" w:rsidRDefault="00D163C6" w:rsidP="00FD4CF2">
      <w:pPr>
        <w:spacing w:after="0" w:line="240" w:lineRule="auto"/>
        <w:ind w:right="-992"/>
        <w:jc w:val="both"/>
        <w:rPr>
          <w:rFonts w:ascii="Arial" w:hAnsi="Arial" w:cs="Arial"/>
          <w:sz w:val="24"/>
          <w:szCs w:val="24"/>
        </w:rPr>
      </w:pPr>
      <w:r w:rsidRPr="00D163C6">
        <w:rPr>
          <w:rFonts w:ascii="Arial" w:hAnsi="Arial" w:cs="Arial"/>
          <w:sz w:val="24"/>
          <w:szCs w:val="24"/>
        </w:rPr>
        <w:t xml:space="preserve">The Council administers the appeals process for all council, community and voluntary-controlled schools and also provides a commercial service for academies and other schools. The budget for </w:t>
      </w:r>
      <w:r w:rsidRPr="00D163C6">
        <w:rPr>
          <w:rFonts w:ascii="Arial" w:hAnsi="Arial" w:cs="Arial"/>
          <w:sz w:val="24"/>
          <w:szCs w:val="24"/>
          <w:u w:val="single"/>
        </w:rPr>
        <w:t>appeals</w:t>
      </w:r>
      <w:r w:rsidRPr="00D163C6">
        <w:rPr>
          <w:rFonts w:ascii="Arial" w:hAnsi="Arial" w:cs="Arial"/>
          <w:sz w:val="24"/>
          <w:szCs w:val="24"/>
        </w:rPr>
        <w:t xml:space="preserve"> is outside of this arrangements. </w:t>
      </w:r>
    </w:p>
    <w:p w14:paraId="5B1A6CA7" w14:textId="77777777" w:rsidR="00D163C6" w:rsidRPr="00D163C6" w:rsidRDefault="00D163C6" w:rsidP="00FD4CF2">
      <w:pPr>
        <w:spacing w:after="0" w:line="240" w:lineRule="auto"/>
        <w:ind w:left="360" w:right="-992"/>
        <w:jc w:val="both"/>
        <w:rPr>
          <w:rFonts w:ascii="Arial" w:hAnsi="Arial" w:cs="Arial"/>
          <w:sz w:val="24"/>
          <w:szCs w:val="24"/>
        </w:rPr>
      </w:pPr>
    </w:p>
    <w:p w14:paraId="1FC73802" w14:textId="77777777" w:rsidR="00D163C6" w:rsidRPr="00D163C6" w:rsidRDefault="00D163C6" w:rsidP="00FD4CF2">
      <w:pPr>
        <w:spacing w:after="0" w:line="240" w:lineRule="auto"/>
        <w:ind w:right="-992"/>
        <w:jc w:val="both"/>
        <w:rPr>
          <w:rFonts w:ascii="Arial" w:hAnsi="Arial" w:cs="Arial"/>
          <w:b/>
          <w:sz w:val="24"/>
          <w:szCs w:val="24"/>
          <w:u w:val="single"/>
        </w:rPr>
      </w:pPr>
      <w:r w:rsidRPr="00D163C6">
        <w:rPr>
          <w:rFonts w:ascii="Arial" w:hAnsi="Arial" w:cs="Arial"/>
          <w:b/>
          <w:sz w:val="24"/>
          <w:szCs w:val="24"/>
          <w:u w:val="single"/>
        </w:rPr>
        <w:t>National and Statutory Context</w:t>
      </w:r>
    </w:p>
    <w:p w14:paraId="38BC6970" w14:textId="77777777" w:rsidR="00D163C6" w:rsidRPr="00D163C6" w:rsidRDefault="00D163C6" w:rsidP="00FD4CF2">
      <w:pPr>
        <w:spacing w:after="0" w:line="240" w:lineRule="auto"/>
        <w:ind w:left="360" w:right="-992"/>
        <w:jc w:val="both"/>
        <w:rPr>
          <w:rFonts w:ascii="Arial" w:hAnsi="Arial" w:cs="Arial"/>
          <w:sz w:val="24"/>
          <w:szCs w:val="24"/>
        </w:rPr>
      </w:pPr>
    </w:p>
    <w:p w14:paraId="2F25B6D2" w14:textId="77777777" w:rsidR="00D163C6" w:rsidRPr="00D163C6" w:rsidRDefault="00D163C6" w:rsidP="00FD4CF2">
      <w:pPr>
        <w:spacing w:after="0" w:line="240" w:lineRule="auto"/>
        <w:ind w:right="-992"/>
        <w:jc w:val="both"/>
        <w:rPr>
          <w:rFonts w:ascii="Arial" w:hAnsi="Arial" w:cs="Arial"/>
          <w:sz w:val="24"/>
          <w:szCs w:val="24"/>
        </w:rPr>
      </w:pPr>
      <w:r w:rsidRPr="00D163C6">
        <w:rPr>
          <w:rFonts w:ascii="Arial" w:hAnsi="Arial" w:cs="Arial"/>
          <w:sz w:val="24"/>
          <w:szCs w:val="24"/>
        </w:rPr>
        <w:t>All school admission services make an important contribution to the safeguarding of children and young people by ensuring that every child is offered a school place.</w:t>
      </w:r>
    </w:p>
    <w:p w14:paraId="54E3548E" w14:textId="77777777" w:rsidR="00D163C6" w:rsidRPr="00D163C6" w:rsidRDefault="00D163C6" w:rsidP="00FD4CF2">
      <w:pPr>
        <w:spacing w:after="0" w:line="240" w:lineRule="auto"/>
        <w:ind w:right="-992"/>
        <w:jc w:val="both"/>
        <w:rPr>
          <w:rFonts w:ascii="Arial" w:hAnsi="Arial" w:cs="Arial"/>
          <w:sz w:val="24"/>
          <w:szCs w:val="24"/>
        </w:rPr>
      </w:pPr>
    </w:p>
    <w:p w14:paraId="302FA341" w14:textId="77777777" w:rsidR="00D163C6" w:rsidRPr="00D163C6" w:rsidRDefault="00D163C6" w:rsidP="00FD4CF2">
      <w:pPr>
        <w:spacing w:after="0" w:line="240" w:lineRule="auto"/>
        <w:ind w:right="-992"/>
        <w:jc w:val="both"/>
        <w:rPr>
          <w:rFonts w:ascii="Arial" w:hAnsi="Arial" w:cs="Arial"/>
          <w:sz w:val="24"/>
          <w:szCs w:val="24"/>
        </w:rPr>
      </w:pPr>
      <w:r w:rsidRPr="00D163C6">
        <w:rPr>
          <w:rFonts w:ascii="Arial" w:hAnsi="Arial" w:cs="Arial"/>
          <w:sz w:val="24"/>
          <w:szCs w:val="24"/>
        </w:rPr>
        <w:t>Birmingham and other local authorities, track children who are out of school because their parent/carer has refused a school place and take appropriate action.</w:t>
      </w:r>
    </w:p>
    <w:p w14:paraId="2E96BC05" w14:textId="77777777" w:rsidR="00D163C6" w:rsidRPr="00D163C6" w:rsidRDefault="00D163C6" w:rsidP="00FD4CF2">
      <w:pPr>
        <w:spacing w:after="0" w:line="240" w:lineRule="auto"/>
        <w:ind w:right="-992"/>
        <w:contextualSpacing/>
        <w:jc w:val="both"/>
        <w:rPr>
          <w:rFonts w:ascii="Arial" w:eastAsia="Times New Roman" w:hAnsi="Arial" w:cs="Arial"/>
          <w:sz w:val="24"/>
          <w:szCs w:val="24"/>
          <w:lang w:eastAsia="en-GB"/>
        </w:rPr>
      </w:pPr>
    </w:p>
    <w:p w14:paraId="67B7E9A0" w14:textId="77777777" w:rsidR="00D163C6" w:rsidRPr="00D163C6" w:rsidRDefault="00D163C6" w:rsidP="00FD4CF2">
      <w:pPr>
        <w:spacing w:after="0" w:line="240" w:lineRule="auto"/>
        <w:ind w:right="-992"/>
        <w:jc w:val="both"/>
        <w:rPr>
          <w:rFonts w:ascii="Arial" w:hAnsi="Arial" w:cs="Arial"/>
          <w:sz w:val="24"/>
          <w:szCs w:val="24"/>
        </w:rPr>
      </w:pPr>
      <w:r w:rsidRPr="00D163C6">
        <w:rPr>
          <w:rFonts w:ascii="Arial" w:hAnsi="Arial" w:cs="Arial"/>
          <w:sz w:val="24"/>
          <w:szCs w:val="24"/>
        </w:rPr>
        <w:t>The Admission Service provides and supports the provision of a range of statutory requirements as identified within the Schools Admission Code 2014 and pupil registration regulations 2006.</w:t>
      </w:r>
    </w:p>
    <w:p w14:paraId="158A88DA" w14:textId="77777777" w:rsidR="00D163C6" w:rsidRPr="00D163C6" w:rsidRDefault="00D163C6" w:rsidP="00FD4CF2">
      <w:pPr>
        <w:spacing w:after="0" w:line="240" w:lineRule="auto"/>
        <w:ind w:right="-992"/>
        <w:contextualSpacing/>
        <w:jc w:val="both"/>
        <w:rPr>
          <w:rFonts w:ascii="Arial" w:eastAsia="Times New Roman" w:hAnsi="Arial" w:cs="Arial"/>
          <w:sz w:val="24"/>
          <w:szCs w:val="24"/>
          <w:lang w:eastAsia="en-GB"/>
        </w:rPr>
      </w:pPr>
    </w:p>
    <w:p w14:paraId="7EB0D1FB" w14:textId="77777777" w:rsidR="00D163C6" w:rsidRPr="00D163C6" w:rsidRDefault="00D163C6" w:rsidP="00FD4CF2">
      <w:pPr>
        <w:spacing w:after="0" w:line="240" w:lineRule="auto"/>
        <w:ind w:right="-992"/>
        <w:jc w:val="both"/>
        <w:rPr>
          <w:rFonts w:ascii="Arial" w:hAnsi="Arial" w:cs="Arial"/>
          <w:sz w:val="24"/>
          <w:szCs w:val="24"/>
        </w:rPr>
      </w:pPr>
      <w:r w:rsidRPr="00D163C6">
        <w:rPr>
          <w:rFonts w:ascii="Arial" w:hAnsi="Arial" w:cs="Arial"/>
          <w:sz w:val="24"/>
          <w:szCs w:val="24"/>
        </w:rPr>
        <w:t>The Code applies to admissions to all maintained schools in England.  It should be read alongside the School Admission Appeal Code and other guidance and law that affect admissions and admission appeals in England.</w:t>
      </w:r>
    </w:p>
    <w:p w14:paraId="607492A0" w14:textId="77777777" w:rsidR="00D163C6" w:rsidRPr="00D163C6" w:rsidRDefault="00D163C6" w:rsidP="00FD4CF2">
      <w:pPr>
        <w:spacing w:after="0" w:line="240" w:lineRule="auto"/>
        <w:ind w:right="-992"/>
        <w:contextualSpacing/>
        <w:jc w:val="both"/>
        <w:rPr>
          <w:rFonts w:ascii="Arial" w:eastAsia="Times New Roman" w:hAnsi="Arial" w:cs="Arial"/>
          <w:sz w:val="24"/>
          <w:szCs w:val="24"/>
          <w:lang w:eastAsia="en-GB"/>
        </w:rPr>
      </w:pPr>
    </w:p>
    <w:p w14:paraId="7329FB7C" w14:textId="77777777" w:rsidR="00D163C6" w:rsidRPr="00D163C6" w:rsidRDefault="00D163C6" w:rsidP="00FD4CF2">
      <w:pPr>
        <w:spacing w:after="0" w:line="240" w:lineRule="auto"/>
        <w:ind w:right="-992"/>
        <w:jc w:val="both"/>
        <w:rPr>
          <w:rFonts w:ascii="Arial" w:hAnsi="Arial" w:cs="Arial"/>
          <w:sz w:val="24"/>
          <w:szCs w:val="24"/>
        </w:rPr>
      </w:pPr>
      <w:r w:rsidRPr="00D163C6">
        <w:rPr>
          <w:rFonts w:ascii="Arial" w:hAnsi="Arial" w:cs="Arial"/>
          <w:sz w:val="24"/>
          <w:szCs w:val="24"/>
        </w:rPr>
        <w:t>This Code imposes mandatory requirements and includes guidelines setting out aims, objectives and other matters in relation to the discharge of functions relating to admissions by the bodies listed below:</w:t>
      </w:r>
    </w:p>
    <w:p w14:paraId="2CA1AB73" w14:textId="77777777" w:rsidR="00D163C6" w:rsidRPr="00D163C6" w:rsidRDefault="00D163C6" w:rsidP="00FD4CF2">
      <w:pPr>
        <w:spacing w:after="0" w:line="240" w:lineRule="auto"/>
        <w:ind w:left="720" w:right="-992"/>
        <w:contextualSpacing/>
        <w:jc w:val="both"/>
        <w:rPr>
          <w:rFonts w:ascii="Arial" w:eastAsia="Times New Roman" w:hAnsi="Arial" w:cs="Arial"/>
          <w:sz w:val="24"/>
          <w:szCs w:val="24"/>
          <w:lang w:eastAsia="en-GB"/>
        </w:rPr>
      </w:pPr>
    </w:p>
    <w:p w14:paraId="513B27BA" w14:textId="77777777" w:rsidR="00D163C6" w:rsidRPr="00D163C6" w:rsidRDefault="00D163C6" w:rsidP="00FD4CF2">
      <w:pPr>
        <w:numPr>
          <w:ilvl w:val="0"/>
          <w:numId w:val="35"/>
        </w:numPr>
        <w:spacing w:after="0"/>
        <w:ind w:left="1134" w:right="-992" w:hanging="992"/>
        <w:jc w:val="both"/>
        <w:rPr>
          <w:rFonts w:ascii="Arial" w:hAnsi="Arial" w:cs="Arial"/>
          <w:sz w:val="24"/>
          <w:szCs w:val="24"/>
        </w:rPr>
      </w:pPr>
      <w:r w:rsidRPr="00D163C6">
        <w:rPr>
          <w:rFonts w:ascii="Arial" w:hAnsi="Arial" w:cs="Arial"/>
          <w:b/>
          <w:sz w:val="24"/>
          <w:szCs w:val="24"/>
        </w:rPr>
        <w:t>Admission authority of maintained schools</w:t>
      </w:r>
      <w:r w:rsidRPr="00D163C6">
        <w:rPr>
          <w:rFonts w:ascii="Arial" w:hAnsi="Arial" w:cs="Arial"/>
          <w:sz w:val="24"/>
          <w:szCs w:val="24"/>
        </w:rPr>
        <w:t xml:space="preserve"> as defined in Section 88 (1) (a) and (b) of the SSFA 1998</w:t>
      </w:r>
    </w:p>
    <w:p w14:paraId="656FF950" w14:textId="77777777" w:rsidR="00D163C6" w:rsidRPr="00D163C6" w:rsidRDefault="00D163C6" w:rsidP="00FD4CF2">
      <w:pPr>
        <w:spacing w:after="0"/>
        <w:ind w:left="1134" w:right="-992" w:hanging="992"/>
        <w:jc w:val="both"/>
        <w:rPr>
          <w:rFonts w:ascii="Arial" w:hAnsi="Arial" w:cs="Arial"/>
          <w:sz w:val="24"/>
          <w:szCs w:val="24"/>
        </w:rPr>
      </w:pPr>
    </w:p>
    <w:p w14:paraId="13BC5DBD" w14:textId="77777777" w:rsidR="00D163C6" w:rsidRPr="00D163C6" w:rsidRDefault="00D163C6" w:rsidP="00FD4CF2">
      <w:pPr>
        <w:numPr>
          <w:ilvl w:val="0"/>
          <w:numId w:val="35"/>
        </w:numPr>
        <w:spacing w:after="0"/>
        <w:ind w:left="1134" w:right="-992" w:hanging="992"/>
        <w:jc w:val="both"/>
        <w:rPr>
          <w:rFonts w:ascii="Arial" w:hAnsi="Arial" w:cs="Arial"/>
          <w:sz w:val="24"/>
          <w:szCs w:val="24"/>
        </w:rPr>
      </w:pPr>
      <w:r w:rsidRPr="00D163C6">
        <w:rPr>
          <w:rFonts w:ascii="Arial" w:hAnsi="Arial" w:cs="Arial"/>
          <w:b/>
          <w:sz w:val="24"/>
          <w:szCs w:val="24"/>
        </w:rPr>
        <w:t>Governing bodies and local authorities (when not admission authorities)</w:t>
      </w:r>
    </w:p>
    <w:p w14:paraId="3C64CFD0" w14:textId="77777777" w:rsidR="00D163C6" w:rsidRPr="00D163C6" w:rsidRDefault="00D163C6" w:rsidP="00FD4CF2">
      <w:pPr>
        <w:spacing w:after="0" w:line="240" w:lineRule="auto"/>
        <w:ind w:left="1134" w:right="-992" w:hanging="992"/>
        <w:contextualSpacing/>
        <w:jc w:val="both"/>
        <w:rPr>
          <w:rFonts w:ascii="Arial" w:eastAsia="Times New Roman" w:hAnsi="Arial" w:cs="Arial"/>
          <w:sz w:val="24"/>
          <w:szCs w:val="24"/>
          <w:lang w:eastAsia="en-GB"/>
        </w:rPr>
      </w:pPr>
    </w:p>
    <w:p w14:paraId="0285223A" w14:textId="77777777" w:rsidR="00D163C6" w:rsidRPr="00D163C6" w:rsidRDefault="00D163C6" w:rsidP="00FD4CF2">
      <w:pPr>
        <w:numPr>
          <w:ilvl w:val="0"/>
          <w:numId w:val="35"/>
        </w:numPr>
        <w:spacing w:after="0"/>
        <w:ind w:left="1134" w:right="-992" w:hanging="992"/>
        <w:jc w:val="both"/>
        <w:rPr>
          <w:rFonts w:ascii="Arial" w:hAnsi="Arial" w:cs="Arial"/>
          <w:sz w:val="24"/>
          <w:szCs w:val="24"/>
        </w:rPr>
      </w:pPr>
      <w:r w:rsidRPr="00D163C6">
        <w:rPr>
          <w:rFonts w:ascii="Arial" w:hAnsi="Arial" w:cs="Arial"/>
          <w:b/>
          <w:sz w:val="24"/>
          <w:szCs w:val="24"/>
        </w:rPr>
        <w:t>School Adjudicators</w:t>
      </w:r>
    </w:p>
    <w:p w14:paraId="487EBF5F" w14:textId="77777777" w:rsidR="00D163C6" w:rsidRPr="00D163C6" w:rsidRDefault="00D163C6" w:rsidP="00FD4CF2">
      <w:pPr>
        <w:spacing w:after="0" w:line="240" w:lineRule="auto"/>
        <w:ind w:left="1134" w:right="-992" w:hanging="992"/>
        <w:contextualSpacing/>
        <w:jc w:val="both"/>
        <w:rPr>
          <w:rFonts w:ascii="Arial" w:eastAsia="Times New Roman" w:hAnsi="Arial" w:cs="Arial"/>
          <w:sz w:val="24"/>
          <w:szCs w:val="24"/>
          <w:lang w:eastAsia="en-GB"/>
        </w:rPr>
      </w:pPr>
    </w:p>
    <w:p w14:paraId="4180711C" w14:textId="77777777" w:rsidR="00D163C6" w:rsidRPr="00D163C6" w:rsidRDefault="00D163C6" w:rsidP="00FD4CF2">
      <w:pPr>
        <w:numPr>
          <w:ilvl w:val="0"/>
          <w:numId w:val="35"/>
        </w:numPr>
        <w:spacing w:after="0"/>
        <w:ind w:left="1134" w:right="-992" w:hanging="992"/>
        <w:jc w:val="both"/>
        <w:rPr>
          <w:rFonts w:ascii="Arial" w:hAnsi="Arial" w:cs="Arial"/>
          <w:sz w:val="24"/>
          <w:szCs w:val="24"/>
        </w:rPr>
      </w:pPr>
      <w:r w:rsidRPr="00D163C6">
        <w:rPr>
          <w:rFonts w:ascii="Arial" w:hAnsi="Arial" w:cs="Arial"/>
          <w:b/>
          <w:sz w:val="24"/>
          <w:szCs w:val="24"/>
        </w:rPr>
        <w:t>Admission Appeal Panels</w:t>
      </w:r>
    </w:p>
    <w:p w14:paraId="77802898" w14:textId="77777777" w:rsidR="00D163C6" w:rsidRPr="00D163C6" w:rsidRDefault="00D163C6" w:rsidP="00FD4CF2">
      <w:pPr>
        <w:tabs>
          <w:tab w:val="left" w:pos="3225"/>
        </w:tabs>
        <w:spacing w:after="0" w:line="240" w:lineRule="auto"/>
        <w:ind w:left="284" w:right="-992"/>
        <w:contextualSpacing/>
        <w:jc w:val="both"/>
        <w:rPr>
          <w:rFonts w:ascii="Arial" w:eastAsia="Times New Roman" w:hAnsi="Arial" w:cs="Arial"/>
          <w:sz w:val="24"/>
          <w:szCs w:val="24"/>
          <w:lang w:eastAsia="en-GB"/>
        </w:rPr>
      </w:pPr>
    </w:p>
    <w:p w14:paraId="0AA23EDE" w14:textId="77777777" w:rsidR="00D163C6" w:rsidRPr="00D163C6" w:rsidRDefault="00D163C6" w:rsidP="00FD4CF2">
      <w:pPr>
        <w:spacing w:after="0"/>
        <w:ind w:left="284" w:right="-992"/>
        <w:jc w:val="both"/>
        <w:rPr>
          <w:rFonts w:ascii="Arial" w:hAnsi="Arial" w:cs="Arial"/>
          <w:sz w:val="24"/>
          <w:szCs w:val="24"/>
        </w:rPr>
      </w:pPr>
      <w:r w:rsidRPr="00D163C6">
        <w:rPr>
          <w:rFonts w:ascii="Arial" w:hAnsi="Arial" w:cs="Arial"/>
          <w:sz w:val="24"/>
          <w:szCs w:val="24"/>
        </w:rPr>
        <w:t>These bodies have a statutory duty to act in accordance with the relevant provisions of the Code.</w:t>
      </w:r>
    </w:p>
    <w:p w14:paraId="0D5270A4" w14:textId="77777777" w:rsidR="00D163C6" w:rsidRPr="00D163C6" w:rsidRDefault="00D163C6" w:rsidP="00FD4CF2">
      <w:pPr>
        <w:spacing w:after="0" w:line="240" w:lineRule="auto"/>
        <w:ind w:left="720" w:right="-992"/>
        <w:contextualSpacing/>
        <w:jc w:val="both"/>
        <w:rPr>
          <w:rFonts w:ascii="Arial" w:eastAsia="Times New Roman" w:hAnsi="Arial" w:cs="Arial"/>
          <w:sz w:val="24"/>
          <w:szCs w:val="24"/>
          <w:lang w:eastAsia="en-GB"/>
        </w:rPr>
      </w:pPr>
    </w:p>
    <w:p w14:paraId="2EB7FA94" w14:textId="77777777" w:rsidR="00D163C6" w:rsidRPr="00D163C6" w:rsidRDefault="00D163C6" w:rsidP="00FD4CF2">
      <w:pPr>
        <w:spacing w:after="0" w:line="240" w:lineRule="auto"/>
        <w:ind w:left="284" w:right="-992"/>
        <w:jc w:val="both"/>
        <w:rPr>
          <w:rFonts w:ascii="Arial" w:hAnsi="Arial" w:cs="Arial"/>
          <w:sz w:val="24"/>
          <w:szCs w:val="24"/>
        </w:rPr>
      </w:pPr>
      <w:r w:rsidRPr="00D163C6">
        <w:rPr>
          <w:rFonts w:ascii="Arial" w:hAnsi="Arial" w:cs="Arial"/>
          <w:sz w:val="24"/>
          <w:szCs w:val="24"/>
        </w:rPr>
        <w:t>All Academy Schools (including those that are Free Schools), University Technical Colleges and Studio Schools are required by their funding agreements to comply with the Code and the law relating to admissions.</w:t>
      </w:r>
    </w:p>
    <w:p w14:paraId="6314BFAD" w14:textId="77777777" w:rsidR="00D163C6" w:rsidRPr="00D163C6" w:rsidRDefault="00D163C6" w:rsidP="00FD4CF2">
      <w:pPr>
        <w:spacing w:after="0" w:line="240" w:lineRule="auto"/>
        <w:ind w:left="284" w:right="-992"/>
        <w:jc w:val="both"/>
        <w:rPr>
          <w:rFonts w:ascii="Arial" w:hAnsi="Arial" w:cs="Arial"/>
          <w:sz w:val="24"/>
          <w:szCs w:val="24"/>
        </w:rPr>
      </w:pPr>
    </w:p>
    <w:p w14:paraId="2E0A4DBB" w14:textId="77777777" w:rsidR="00D163C6" w:rsidRPr="00D163C6" w:rsidRDefault="00D163C6" w:rsidP="00FD4CF2">
      <w:pPr>
        <w:spacing w:after="0" w:line="240" w:lineRule="auto"/>
        <w:ind w:left="284" w:right="-992"/>
        <w:jc w:val="both"/>
        <w:rPr>
          <w:rFonts w:ascii="Arial" w:hAnsi="Arial" w:cs="Arial"/>
          <w:sz w:val="24"/>
          <w:szCs w:val="24"/>
        </w:rPr>
      </w:pPr>
      <w:r w:rsidRPr="00D163C6">
        <w:rPr>
          <w:rFonts w:ascii="Arial" w:hAnsi="Arial" w:cs="Arial"/>
          <w:sz w:val="24"/>
          <w:szCs w:val="24"/>
        </w:rPr>
        <w:t>It is the responsibility of admission authorities to ensure that admission arrangements are fair and compliant with this Code.  Where a school is the admission authority, this responsibility falls to the governing body or Academy Trust.</w:t>
      </w:r>
    </w:p>
    <w:p w14:paraId="5C54B867" w14:textId="77777777" w:rsidR="00D163C6" w:rsidRPr="00D163C6" w:rsidRDefault="00D163C6" w:rsidP="00FD4CF2">
      <w:pPr>
        <w:spacing w:after="0" w:line="240" w:lineRule="auto"/>
        <w:ind w:left="284" w:right="-992"/>
        <w:contextualSpacing/>
        <w:jc w:val="both"/>
        <w:rPr>
          <w:rFonts w:ascii="Arial" w:eastAsia="Times New Roman" w:hAnsi="Arial" w:cs="Arial"/>
          <w:sz w:val="24"/>
          <w:szCs w:val="24"/>
          <w:lang w:eastAsia="en-GB"/>
        </w:rPr>
      </w:pPr>
    </w:p>
    <w:p w14:paraId="39332D79" w14:textId="77777777" w:rsidR="00D163C6" w:rsidRPr="00D163C6" w:rsidRDefault="00D163C6" w:rsidP="00FD4CF2">
      <w:pPr>
        <w:spacing w:after="0" w:line="240" w:lineRule="auto"/>
        <w:ind w:left="284" w:right="-992"/>
        <w:jc w:val="both"/>
        <w:rPr>
          <w:rFonts w:ascii="Arial" w:hAnsi="Arial" w:cs="Arial"/>
          <w:sz w:val="24"/>
          <w:szCs w:val="24"/>
        </w:rPr>
      </w:pPr>
      <w:r w:rsidRPr="00D163C6">
        <w:rPr>
          <w:rFonts w:ascii="Arial" w:hAnsi="Arial" w:cs="Arial"/>
          <w:sz w:val="24"/>
          <w:szCs w:val="24"/>
        </w:rPr>
        <w:t>The table below identifies the types of school with related governance and admission authorities.</w:t>
      </w:r>
    </w:p>
    <w:p w14:paraId="7B643D91" w14:textId="77777777" w:rsidR="00D163C6" w:rsidRPr="00D163C6" w:rsidRDefault="00D163C6" w:rsidP="00D163C6">
      <w:pPr>
        <w:spacing w:after="0" w:line="240" w:lineRule="auto"/>
        <w:ind w:left="792"/>
        <w:jc w:val="both"/>
        <w:rPr>
          <w:rFonts w:ascii="Arial" w:hAnsi="Arial" w:cs="Arial"/>
          <w:sz w:val="24"/>
          <w:szCs w:val="24"/>
        </w:rPr>
      </w:pPr>
    </w:p>
    <w:tbl>
      <w:tblPr>
        <w:tblW w:w="910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Admission Appeal Panels"/>
      </w:tblPr>
      <w:tblGrid>
        <w:gridCol w:w="1875"/>
        <w:gridCol w:w="1984"/>
        <w:gridCol w:w="2126"/>
        <w:gridCol w:w="3119"/>
      </w:tblGrid>
      <w:tr w:rsidR="00D163C6" w:rsidRPr="00D163C6" w14:paraId="0A574C5F" w14:textId="77777777" w:rsidTr="00A95F26">
        <w:trPr>
          <w:tblHeader/>
        </w:trPr>
        <w:tc>
          <w:tcPr>
            <w:tcW w:w="1875" w:type="dxa"/>
            <w:shd w:val="clear" w:color="auto" w:fill="auto"/>
          </w:tcPr>
          <w:p w14:paraId="4F9ACFDF" w14:textId="77777777" w:rsidR="00D163C6" w:rsidRPr="00D163C6" w:rsidRDefault="00D163C6" w:rsidP="00D163C6">
            <w:pPr>
              <w:spacing w:after="0"/>
              <w:jc w:val="both"/>
              <w:rPr>
                <w:rFonts w:ascii="Arial" w:hAnsi="Arial" w:cs="Arial"/>
                <w:b/>
                <w:sz w:val="24"/>
                <w:szCs w:val="24"/>
              </w:rPr>
            </w:pPr>
            <w:r w:rsidRPr="00D163C6">
              <w:rPr>
                <w:rFonts w:ascii="Arial" w:hAnsi="Arial" w:cs="Arial"/>
                <w:b/>
                <w:sz w:val="24"/>
                <w:szCs w:val="24"/>
              </w:rPr>
              <w:t>Type of school</w:t>
            </w:r>
          </w:p>
        </w:tc>
        <w:tc>
          <w:tcPr>
            <w:tcW w:w="1984" w:type="dxa"/>
            <w:shd w:val="clear" w:color="auto" w:fill="auto"/>
          </w:tcPr>
          <w:p w14:paraId="012582F2" w14:textId="77777777" w:rsidR="00D163C6" w:rsidRPr="00D163C6" w:rsidRDefault="00D163C6" w:rsidP="00D163C6">
            <w:pPr>
              <w:spacing w:after="0"/>
              <w:jc w:val="both"/>
              <w:rPr>
                <w:rFonts w:ascii="Arial" w:hAnsi="Arial" w:cs="Arial"/>
                <w:b/>
                <w:sz w:val="24"/>
                <w:szCs w:val="24"/>
              </w:rPr>
            </w:pPr>
            <w:r w:rsidRPr="00D163C6">
              <w:rPr>
                <w:rFonts w:ascii="Arial" w:hAnsi="Arial" w:cs="Arial"/>
                <w:b/>
                <w:sz w:val="24"/>
                <w:szCs w:val="24"/>
              </w:rPr>
              <w:t>Who is the Admission Authority</w:t>
            </w:r>
          </w:p>
        </w:tc>
        <w:tc>
          <w:tcPr>
            <w:tcW w:w="2126" w:type="dxa"/>
            <w:shd w:val="clear" w:color="auto" w:fill="auto"/>
          </w:tcPr>
          <w:p w14:paraId="171D24BB" w14:textId="77777777" w:rsidR="00D163C6" w:rsidRPr="00D163C6" w:rsidRDefault="00D163C6" w:rsidP="00D163C6">
            <w:pPr>
              <w:spacing w:after="0"/>
              <w:jc w:val="both"/>
              <w:rPr>
                <w:rFonts w:ascii="Arial" w:hAnsi="Arial" w:cs="Arial"/>
                <w:b/>
                <w:sz w:val="24"/>
                <w:szCs w:val="24"/>
              </w:rPr>
            </w:pPr>
            <w:r w:rsidRPr="00D163C6">
              <w:rPr>
                <w:rFonts w:ascii="Arial" w:hAnsi="Arial" w:cs="Arial"/>
                <w:b/>
                <w:sz w:val="24"/>
                <w:szCs w:val="24"/>
              </w:rPr>
              <w:t>Who deals with complaints and arrangements?</w:t>
            </w:r>
          </w:p>
        </w:tc>
        <w:tc>
          <w:tcPr>
            <w:tcW w:w="3119" w:type="dxa"/>
            <w:shd w:val="clear" w:color="auto" w:fill="auto"/>
          </w:tcPr>
          <w:p w14:paraId="5416D0DB" w14:textId="77777777" w:rsidR="00D163C6" w:rsidRPr="00D163C6" w:rsidRDefault="00D163C6" w:rsidP="00D163C6">
            <w:pPr>
              <w:spacing w:after="0"/>
              <w:jc w:val="both"/>
              <w:rPr>
                <w:rFonts w:ascii="Arial" w:hAnsi="Arial" w:cs="Arial"/>
                <w:b/>
                <w:sz w:val="24"/>
                <w:szCs w:val="24"/>
              </w:rPr>
            </w:pPr>
            <w:r w:rsidRPr="00D163C6">
              <w:rPr>
                <w:rFonts w:ascii="Arial" w:hAnsi="Arial" w:cs="Arial"/>
                <w:b/>
                <w:sz w:val="24"/>
                <w:szCs w:val="24"/>
              </w:rPr>
              <w:t>Who is responsible for arranging/providing for an appeal against refusal of a place at a school?</w:t>
            </w:r>
          </w:p>
        </w:tc>
      </w:tr>
      <w:tr w:rsidR="00D163C6" w:rsidRPr="00D163C6" w14:paraId="503AA10F" w14:textId="77777777" w:rsidTr="002D4F21">
        <w:tc>
          <w:tcPr>
            <w:tcW w:w="1875" w:type="dxa"/>
            <w:shd w:val="clear" w:color="auto" w:fill="auto"/>
          </w:tcPr>
          <w:p w14:paraId="52199C65" w14:textId="77777777" w:rsidR="00D163C6" w:rsidRPr="00D163C6" w:rsidRDefault="00D163C6" w:rsidP="00D163C6">
            <w:pPr>
              <w:spacing w:after="0"/>
              <w:jc w:val="both"/>
              <w:rPr>
                <w:rFonts w:ascii="Arial" w:hAnsi="Arial" w:cs="Arial"/>
                <w:sz w:val="24"/>
                <w:szCs w:val="24"/>
              </w:rPr>
            </w:pPr>
            <w:r w:rsidRPr="00D163C6">
              <w:rPr>
                <w:rFonts w:ascii="Arial" w:hAnsi="Arial" w:cs="Arial"/>
                <w:sz w:val="24"/>
                <w:szCs w:val="24"/>
              </w:rPr>
              <w:t>Academies</w:t>
            </w:r>
          </w:p>
        </w:tc>
        <w:tc>
          <w:tcPr>
            <w:tcW w:w="1984" w:type="dxa"/>
            <w:shd w:val="clear" w:color="auto" w:fill="auto"/>
          </w:tcPr>
          <w:p w14:paraId="3B91BE43" w14:textId="77777777" w:rsidR="00D163C6" w:rsidRPr="00D163C6" w:rsidRDefault="00D163C6" w:rsidP="00D163C6">
            <w:pPr>
              <w:spacing w:after="0"/>
              <w:jc w:val="both"/>
              <w:rPr>
                <w:rFonts w:ascii="Arial" w:hAnsi="Arial" w:cs="Arial"/>
                <w:sz w:val="24"/>
                <w:szCs w:val="24"/>
              </w:rPr>
            </w:pPr>
            <w:r w:rsidRPr="00D163C6">
              <w:rPr>
                <w:rFonts w:ascii="Arial" w:hAnsi="Arial" w:cs="Arial"/>
                <w:sz w:val="24"/>
                <w:szCs w:val="24"/>
              </w:rPr>
              <w:t>Academy Trust</w:t>
            </w:r>
          </w:p>
        </w:tc>
        <w:tc>
          <w:tcPr>
            <w:tcW w:w="2126" w:type="dxa"/>
            <w:shd w:val="clear" w:color="auto" w:fill="auto"/>
          </w:tcPr>
          <w:p w14:paraId="613CD592" w14:textId="77777777" w:rsidR="00D163C6" w:rsidRPr="00D163C6" w:rsidRDefault="00D163C6" w:rsidP="00D163C6">
            <w:pPr>
              <w:spacing w:after="0"/>
              <w:jc w:val="both"/>
              <w:rPr>
                <w:rFonts w:ascii="Arial" w:hAnsi="Arial" w:cs="Arial"/>
                <w:sz w:val="24"/>
                <w:szCs w:val="24"/>
              </w:rPr>
            </w:pPr>
            <w:r w:rsidRPr="00D163C6">
              <w:rPr>
                <w:rFonts w:ascii="Arial" w:hAnsi="Arial" w:cs="Arial"/>
                <w:sz w:val="24"/>
                <w:szCs w:val="24"/>
              </w:rPr>
              <w:t>School Adjudicator</w:t>
            </w:r>
          </w:p>
        </w:tc>
        <w:tc>
          <w:tcPr>
            <w:tcW w:w="3119" w:type="dxa"/>
            <w:shd w:val="clear" w:color="auto" w:fill="auto"/>
          </w:tcPr>
          <w:p w14:paraId="75DA3BF2" w14:textId="77777777" w:rsidR="00D163C6" w:rsidRPr="00D163C6" w:rsidRDefault="00D163C6" w:rsidP="00D163C6">
            <w:pPr>
              <w:spacing w:after="0"/>
              <w:jc w:val="both"/>
              <w:rPr>
                <w:rFonts w:ascii="Arial" w:hAnsi="Arial" w:cs="Arial"/>
                <w:sz w:val="24"/>
                <w:szCs w:val="24"/>
              </w:rPr>
            </w:pPr>
            <w:r w:rsidRPr="00D163C6">
              <w:rPr>
                <w:rFonts w:ascii="Arial" w:hAnsi="Arial" w:cs="Arial"/>
                <w:sz w:val="24"/>
                <w:szCs w:val="24"/>
              </w:rPr>
              <w:t>Academy Trust</w:t>
            </w:r>
          </w:p>
        </w:tc>
      </w:tr>
      <w:tr w:rsidR="00D163C6" w:rsidRPr="00D163C6" w14:paraId="5D2B55D8" w14:textId="77777777" w:rsidTr="002D4F21">
        <w:tc>
          <w:tcPr>
            <w:tcW w:w="1875" w:type="dxa"/>
            <w:shd w:val="clear" w:color="auto" w:fill="auto"/>
          </w:tcPr>
          <w:p w14:paraId="744196E3" w14:textId="77777777" w:rsidR="00D163C6" w:rsidRPr="00D163C6" w:rsidRDefault="00D163C6" w:rsidP="00D163C6">
            <w:pPr>
              <w:spacing w:after="0"/>
              <w:jc w:val="both"/>
              <w:rPr>
                <w:rFonts w:ascii="Arial" w:hAnsi="Arial" w:cs="Arial"/>
                <w:sz w:val="24"/>
                <w:szCs w:val="24"/>
              </w:rPr>
            </w:pPr>
            <w:r w:rsidRPr="00D163C6">
              <w:rPr>
                <w:rFonts w:ascii="Arial" w:hAnsi="Arial" w:cs="Arial"/>
                <w:sz w:val="24"/>
                <w:szCs w:val="24"/>
              </w:rPr>
              <w:t>Community Schools</w:t>
            </w:r>
          </w:p>
        </w:tc>
        <w:tc>
          <w:tcPr>
            <w:tcW w:w="1984" w:type="dxa"/>
            <w:shd w:val="clear" w:color="auto" w:fill="auto"/>
          </w:tcPr>
          <w:p w14:paraId="13466586" w14:textId="77777777" w:rsidR="00D163C6" w:rsidRPr="00D163C6" w:rsidRDefault="00D163C6" w:rsidP="00D163C6">
            <w:pPr>
              <w:spacing w:after="0"/>
              <w:jc w:val="both"/>
              <w:rPr>
                <w:rFonts w:ascii="Arial" w:hAnsi="Arial" w:cs="Arial"/>
                <w:sz w:val="24"/>
                <w:szCs w:val="24"/>
              </w:rPr>
            </w:pPr>
            <w:r w:rsidRPr="00D163C6">
              <w:rPr>
                <w:rFonts w:ascii="Arial" w:hAnsi="Arial" w:cs="Arial"/>
                <w:sz w:val="24"/>
                <w:szCs w:val="24"/>
              </w:rPr>
              <w:t>Local Authority</w:t>
            </w:r>
          </w:p>
        </w:tc>
        <w:tc>
          <w:tcPr>
            <w:tcW w:w="2126" w:type="dxa"/>
            <w:shd w:val="clear" w:color="auto" w:fill="auto"/>
          </w:tcPr>
          <w:p w14:paraId="0EB17E41" w14:textId="77777777" w:rsidR="00D163C6" w:rsidRPr="00D163C6" w:rsidRDefault="00D163C6" w:rsidP="00D163C6">
            <w:pPr>
              <w:spacing w:after="0"/>
              <w:jc w:val="both"/>
              <w:rPr>
                <w:rFonts w:ascii="Arial" w:hAnsi="Arial" w:cs="Arial"/>
                <w:sz w:val="24"/>
                <w:szCs w:val="24"/>
              </w:rPr>
            </w:pPr>
            <w:r w:rsidRPr="00D163C6">
              <w:rPr>
                <w:rFonts w:ascii="Arial" w:hAnsi="Arial" w:cs="Arial"/>
                <w:sz w:val="24"/>
                <w:szCs w:val="24"/>
              </w:rPr>
              <w:t>School Adjudicator</w:t>
            </w:r>
          </w:p>
        </w:tc>
        <w:tc>
          <w:tcPr>
            <w:tcW w:w="3119" w:type="dxa"/>
            <w:shd w:val="clear" w:color="auto" w:fill="auto"/>
          </w:tcPr>
          <w:p w14:paraId="4A453C69" w14:textId="77777777" w:rsidR="00D163C6" w:rsidRPr="00D163C6" w:rsidRDefault="00D163C6" w:rsidP="00D163C6">
            <w:pPr>
              <w:spacing w:after="0"/>
              <w:jc w:val="both"/>
              <w:rPr>
                <w:rFonts w:ascii="Arial" w:hAnsi="Arial" w:cs="Arial"/>
                <w:sz w:val="24"/>
                <w:szCs w:val="24"/>
              </w:rPr>
            </w:pPr>
            <w:r w:rsidRPr="00D163C6">
              <w:rPr>
                <w:rFonts w:ascii="Arial" w:hAnsi="Arial" w:cs="Arial"/>
                <w:sz w:val="24"/>
                <w:szCs w:val="24"/>
              </w:rPr>
              <w:t>Local Authority</w:t>
            </w:r>
          </w:p>
        </w:tc>
      </w:tr>
      <w:tr w:rsidR="00D163C6" w:rsidRPr="00D163C6" w14:paraId="3F0C6475" w14:textId="77777777" w:rsidTr="002D4F21">
        <w:tc>
          <w:tcPr>
            <w:tcW w:w="1875" w:type="dxa"/>
            <w:shd w:val="clear" w:color="auto" w:fill="auto"/>
          </w:tcPr>
          <w:p w14:paraId="6289272B" w14:textId="77777777" w:rsidR="00D163C6" w:rsidRPr="00D163C6" w:rsidRDefault="00D163C6" w:rsidP="00D163C6">
            <w:pPr>
              <w:spacing w:after="0"/>
              <w:jc w:val="both"/>
              <w:rPr>
                <w:rFonts w:ascii="Arial" w:hAnsi="Arial" w:cs="Arial"/>
                <w:sz w:val="24"/>
                <w:szCs w:val="24"/>
              </w:rPr>
            </w:pPr>
            <w:r w:rsidRPr="00D163C6">
              <w:rPr>
                <w:rFonts w:ascii="Arial" w:hAnsi="Arial" w:cs="Arial"/>
                <w:sz w:val="24"/>
                <w:szCs w:val="24"/>
              </w:rPr>
              <w:t>Foundation Schools</w:t>
            </w:r>
          </w:p>
        </w:tc>
        <w:tc>
          <w:tcPr>
            <w:tcW w:w="1984" w:type="dxa"/>
            <w:shd w:val="clear" w:color="auto" w:fill="auto"/>
          </w:tcPr>
          <w:p w14:paraId="42B08572" w14:textId="77777777" w:rsidR="00D163C6" w:rsidRPr="00D163C6" w:rsidRDefault="00D163C6" w:rsidP="00D163C6">
            <w:pPr>
              <w:spacing w:after="0"/>
              <w:jc w:val="both"/>
              <w:rPr>
                <w:rFonts w:ascii="Arial" w:hAnsi="Arial" w:cs="Arial"/>
                <w:sz w:val="24"/>
                <w:szCs w:val="24"/>
              </w:rPr>
            </w:pPr>
            <w:r w:rsidRPr="00D163C6">
              <w:rPr>
                <w:rFonts w:ascii="Arial" w:hAnsi="Arial" w:cs="Arial"/>
                <w:sz w:val="24"/>
                <w:szCs w:val="24"/>
              </w:rPr>
              <w:t>Governing Body</w:t>
            </w:r>
          </w:p>
        </w:tc>
        <w:tc>
          <w:tcPr>
            <w:tcW w:w="2126" w:type="dxa"/>
            <w:shd w:val="clear" w:color="auto" w:fill="auto"/>
          </w:tcPr>
          <w:p w14:paraId="08FC44AD" w14:textId="77777777" w:rsidR="00D163C6" w:rsidRPr="00D163C6" w:rsidRDefault="00D163C6" w:rsidP="00D163C6">
            <w:pPr>
              <w:spacing w:after="0"/>
              <w:jc w:val="both"/>
              <w:rPr>
                <w:rFonts w:ascii="Arial" w:hAnsi="Arial" w:cs="Arial"/>
                <w:sz w:val="24"/>
                <w:szCs w:val="24"/>
              </w:rPr>
            </w:pPr>
            <w:r w:rsidRPr="00D163C6">
              <w:rPr>
                <w:rFonts w:ascii="Arial" w:hAnsi="Arial" w:cs="Arial"/>
                <w:sz w:val="24"/>
                <w:szCs w:val="24"/>
              </w:rPr>
              <w:t>School Adjudicator</w:t>
            </w:r>
          </w:p>
        </w:tc>
        <w:tc>
          <w:tcPr>
            <w:tcW w:w="3119" w:type="dxa"/>
            <w:shd w:val="clear" w:color="auto" w:fill="auto"/>
          </w:tcPr>
          <w:p w14:paraId="50E367A7" w14:textId="77777777" w:rsidR="00D163C6" w:rsidRPr="00D163C6" w:rsidRDefault="00D163C6" w:rsidP="00D163C6">
            <w:pPr>
              <w:spacing w:after="0"/>
              <w:jc w:val="both"/>
              <w:rPr>
                <w:rFonts w:ascii="Arial" w:hAnsi="Arial" w:cs="Arial"/>
                <w:sz w:val="24"/>
                <w:szCs w:val="24"/>
              </w:rPr>
            </w:pPr>
            <w:r w:rsidRPr="00D163C6">
              <w:rPr>
                <w:rFonts w:ascii="Arial" w:hAnsi="Arial" w:cs="Arial"/>
                <w:sz w:val="24"/>
                <w:szCs w:val="24"/>
              </w:rPr>
              <w:t>Governing body</w:t>
            </w:r>
          </w:p>
        </w:tc>
      </w:tr>
      <w:tr w:rsidR="00D163C6" w:rsidRPr="00D163C6" w14:paraId="44925C33" w14:textId="77777777" w:rsidTr="002D4F21">
        <w:tc>
          <w:tcPr>
            <w:tcW w:w="1875" w:type="dxa"/>
            <w:shd w:val="clear" w:color="auto" w:fill="auto"/>
          </w:tcPr>
          <w:p w14:paraId="5976C0D5" w14:textId="77777777" w:rsidR="00D163C6" w:rsidRPr="00D163C6" w:rsidRDefault="00D163C6" w:rsidP="00D163C6">
            <w:pPr>
              <w:spacing w:after="0"/>
              <w:jc w:val="both"/>
              <w:rPr>
                <w:rFonts w:ascii="Arial" w:hAnsi="Arial" w:cs="Arial"/>
                <w:sz w:val="24"/>
                <w:szCs w:val="24"/>
              </w:rPr>
            </w:pPr>
            <w:r w:rsidRPr="00D163C6">
              <w:rPr>
                <w:rFonts w:ascii="Arial" w:hAnsi="Arial" w:cs="Arial"/>
                <w:sz w:val="24"/>
                <w:szCs w:val="24"/>
              </w:rPr>
              <w:t>Voluntary aided schools</w:t>
            </w:r>
          </w:p>
        </w:tc>
        <w:tc>
          <w:tcPr>
            <w:tcW w:w="1984" w:type="dxa"/>
            <w:shd w:val="clear" w:color="auto" w:fill="auto"/>
          </w:tcPr>
          <w:p w14:paraId="3BD08D89" w14:textId="77777777" w:rsidR="00D163C6" w:rsidRPr="00D163C6" w:rsidRDefault="00D163C6" w:rsidP="00D163C6">
            <w:pPr>
              <w:spacing w:after="0"/>
              <w:jc w:val="both"/>
              <w:rPr>
                <w:rFonts w:ascii="Arial" w:hAnsi="Arial" w:cs="Arial"/>
                <w:sz w:val="24"/>
                <w:szCs w:val="24"/>
              </w:rPr>
            </w:pPr>
            <w:r w:rsidRPr="00D163C6">
              <w:rPr>
                <w:rFonts w:ascii="Arial" w:hAnsi="Arial" w:cs="Arial"/>
                <w:sz w:val="24"/>
                <w:szCs w:val="24"/>
              </w:rPr>
              <w:t>Governing Body</w:t>
            </w:r>
          </w:p>
        </w:tc>
        <w:tc>
          <w:tcPr>
            <w:tcW w:w="2126" w:type="dxa"/>
            <w:shd w:val="clear" w:color="auto" w:fill="auto"/>
          </w:tcPr>
          <w:p w14:paraId="4AD298A9" w14:textId="77777777" w:rsidR="00D163C6" w:rsidRPr="00D163C6" w:rsidRDefault="00D163C6" w:rsidP="00D163C6">
            <w:pPr>
              <w:spacing w:after="0"/>
              <w:jc w:val="both"/>
              <w:rPr>
                <w:rFonts w:ascii="Arial" w:hAnsi="Arial" w:cs="Arial"/>
                <w:sz w:val="24"/>
                <w:szCs w:val="24"/>
              </w:rPr>
            </w:pPr>
            <w:r w:rsidRPr="00D163C6">
              <w:rPr>
                <w:rFonts w:ascii="Arial" w:hAnsi="Arial" w:cs="Arial"/>
                <w:sz w:val="24"/>
                <w:szCs w:val="24"/>
              </w:rPr>
              <w:t>School Adjudicator</w:t>
            </w:r>
          </w:p>
        </w:tc>
        <w:tc>
          <w:tcPr>
            <w:tcW w:w="3119" w:type="dxa"/>
            <w:shd w:val="clear" w:color="auto" w:fill="auto"/>
          </w:tcPr>
          <w:p w14:paraId="0C3767B6" w14:textId="77777777" w:rsidR="00D163C6" w:rsidRPr="00D163C6" w:rsidRDefault="00D163C6" w:rsidP="00D163C6">
            <w:pPr>
              <w:spacing w:after="0"/>
              <w:jc w:val="both"/>
              <w:rPr>
                <w:rFonts w:ascii="Arial" w:hAnsi="Arial" w:cs="Arial"/>
                <w:sz w:val="24"/>
                <w:szCs w:val="24"/>
              </w:rPr>
            </w:pPr>
            <w:r w:rsidRPr="00D163C6">
              <w:rPr>
                <w:rFonts w:ascii="Arial" w:hAnsi="Arial" w:cs="Arial"/>
                <w:sz w:val="24"/>
                <w:szCs w:val="24"/>
              </w:rPr>
              <w:t>Governing body</w:t>
            </w:r>
          </w:p>
        </w:tc>
      </w:tr>
      <w:tr w:rsidR="00D163C6" w:rsidRPr="00D163C6" w14:paraId="25557034" w14:textId="77777777" w:rsidTr="002D4F21">
        <w:tc>
          <w:tcPr>
            <w:tcW w:w="1875" w:type="dxa"/>
            <w:shd w:val="clear" w:color="auto" w:fill="auto"/>
          </w:tcPr>
          <w:p w14:paraId="3DE7FB60" w14:textId="77777777" w:rsidR="00D163C6" w:rsidRPr="00D163C6" w:rsidRDefault="00D163C6" w:rsidP="00D163C6">
            <w:pPr>
              <w:spacing w:after="0"/>
              <w:jc w:val="both"/>
              <w:rPr>
                <w:rFonts w:ascii="Arial" w:hAnsi="Arial" w:cs="Arial"/>
                <w:sz w:val="24"/>
                <w:szCs w:val="24"/>
              </w:rPr>
            </w:pPr>
            <w:r w:rsidRPr="00D163C6">
              <w:rPr>
                <w:rFonts w:ascii="Arial" w:hAnsi="Arial" w:cs="Arial"/>
                <w:sz w:val="24"/>
                <w:szCs w:val="24"/>
              </w:rPr>
              <w:t>Voluntary controlled schools</w:t>
            </w:r>
          </w:p>
        </w:tc>
        <w:tc>
          <w:tcPr>
            <w:tcW w:w="1984" w:type="dxa"/>
            <w:shd w:val="clear" w:color="auto" w:fill="auto"/>
          </w:tcPr>
          <w:p w14:paraId="07A36C78" w14:textId="77777777" w:rsidR="00D163C6" w:rsidRPr="00D163C6" w:rsidRDefault="00D163C6" w:rsidP="00D163C6">
            <w:pPr>
              <w:spacing w:after="0"/>
              <w:jc w:val="both"/>
              <w:rPr>
                <w:rFonts w:ascii="Arial" w:hAnsi="Arial" w:cs="Arial"/>
                <w:sz w:val="24"/>
                <w:szCs w:val="24"/>
              </w:rPr>
            </w:pPr>
            <w:r w:rsidRPr="00D163C6">
              <w:rPr>
                <w:rFonts w:ascii="Arial" w:hAnsi="Arial" w:cs="Arial"/>
                <w:sz w:val="24"/>
                <w:szCs w:val="24"/>
              </w:rPr>
              <w:t>Local Authority</w:t>
            </w:r>
          </w:p>
        </w:tc>
        <w:tc>
          <w:tcPr>
            <w:tcW w:w="2126" w:type="dxa"/>
            <w:shd w:val="clear" w:color="auto" w:fill="auto"/>
          </w:tcPr>
          <w:p w14:paraId="2384DBDC" w14:textId="77777777" w:rsidR="00D163C6" w:rsidRPr="00D163C6" w:rsidRDefault="00D163C6" w:rsidP="00D163C6">
            <w:pPr>
              <w:spacing w:after="0"/>
              <w:jc w:val="both"/>
              <w:rPr>
                <w:rFonts w:ascii="Arial" w:hAnsi="Arial" w:cs="Arial"/>
                <w:sz w:val="24"/>
                <w:szCs w:val="24"/>
              </w:rPr>
            </w:pPr>
            <w:r w:rsidRPr="00D163C6">
              <w:rPr>
                <w:rFonts w:ascii="Arial" w:hAnsi="Arial" w:cs="Arial"/>
                <w:sz w:val="24"/>
                <w:szCs w:val="24"/>
              </w:rPr>
              <w:t>School Adjudicator</w:t>
            </w:r>
          </w:p>
        </w:tc>
        <w:tc>
          <w:tcPr>
            <w:tcW w:w="3119" w:type="dxa"/>
            <w:shd w:val="clear" w:color="auto" w:fill="auto"/>
          </w:tcPr>
          <w:p w14:paraId="3AF35D77" w14:textId="77777777" w:rsidR="00D163C6" w:rsidRPr="00D163C6" w:rsidRDefault="00D163C6" w:rsidP="00D163C6">
            <w:pPr>
              <w:spacing w:after="0"/>
              <w:jc w:val="both"/>
              <w:rPr>
                <w:rFonts w:ascii="Arial" w:hAnsi="Arial" w:cs="Arial"/>
                <w:sz w:val="24"/>
                <w:szCs w:val="24"/>
              </w:rPr>
            </w:pPr>
            <w:r w:rsidRPr="00D163C6">
              <w:rPr>
                <w:rFonts w:ascii="Arial" w:hAnsi="Arial" w:cs="Arial"/>
                <w:sz w:val="24"/>
                <w:szCs w:val="24"/>
              </w:rPr>
              <w:t>Local Authority</w:t>
            </w:r>
          </w:p>
        </w:tc>
      </w:tr>
    </w:tbl>
    <w:p w14:paraId="59BE49CA" w14:textId="77777777" w:rsidR="00D163C6" w:rsidRPr="00D163C6" w:rsidRDefault="00D163C6" w:rsidP="00D163C6">
      <w:pPr>
        <w:spacing w:after="0" w:line="240" w:lineRule="auto"/>
        <w:ind w:left="792"/>
        <w:jc w:val="both"/>
        <w:rPr>
          <w:rFonts w:ascii="Arial" w:hAnsi="Arial" w:cs="Arial"/>
          <w:sz w:val="24"/>
          <w:szCs w:val="24"/>
        </w:rPr>
      </w:pPr>
    </w:p>
    <w:p w14:paraId="7421AE7C" w14:textId="42D1841A" w:rsidR="00D163C6" w:rsidRPr="00D163C6" w:rsidRDefault="00D163C6" w:rsidP="00FD4CF2">
      <w:pPr>
        <w:spacing w:after="0" w:line="240" w:lineRule="auto"/>
        <w:ind w:left="284" w:right="-992"/>
        <w:jc w:val="both"/>
      </w:pPr>
      <w:r w:rsidRPr="00D163C6">
        <w:rPr>
          <w:rFonts w:ascii="Arial" w:hAnsi="Arial" w:cs="Arial"/>
          <w:sz w:val="24"/>
          <w:szCs w:val="24"/>
        </w:rPr>
        <w:t>Benchmarking data for admissions funding in 20</w:t>
      </w:r>
      <w:r w:rsidR="00D37235">
        <w:rPr>
          <w:rFonts w:ascii="Arial" w:hAnsi="Arial" w:cs="Arial"/>
          <w:sz w:val="24"/>
          <w:szCs w:val="24"/>
        </w:rPr>
        <w:t>21</w:t>
      </w:r>
      <w:r w:rsidRPr="00D163C6">
        <w:rPr>
          <w:rFonts w:ascii="Arial" w:hAnsi="Arial" w:cs="Arial"/>
          <w:sz w:val="24"/>
          <w:szCs w:val="24"/>
        </w:rPr>
        <w:t xml:space="preserve"> illustrate</w:t>
      </w:r>
      <w:r w:rsidR="00D37235">
        <w:rPr>
          <w:rFonts w:ascii="Arial" w:hAnsi="Arial" w:cs="Arial"/>
          <w:sz w:val="24"/>
          <w:szCs w:val="24"/>
        </w:rPr>
        <w:t>s</w:t>
      </w:r>
      <w:r w:rsidRPr="00D163C6">
        <w:rPr>
          <w:rFonts w:ascii="Arial" w:hAnsi="Arial" w:cs="Arial"/>
          <w:sz w:val="24"/>
          <w:szCs w:val="24"/>
        </w:rPr>
        <w:t xml:space="preserve"> that Birmingham is funded at a lower rate per pupil (£8 per head) compared to the England average (£9</w:t>
      </w:r>
      <w:r w:rsidR="00330D0A">
        <w:rPr>
          <w:rFonts w:ascii="Arial" w:hAnsi="Arial" w:cs="Arial"/>
          <w:sz w:val="24"/>
          <w:szCs w:val="24"/>
        </w:rPr>
        <w:t xml:space="preserve"> per head</w:t>
      </w:r>
      <w:r w:rsidRPr="00D163C6">
        <w:rPr>
          <w:rFonts w:ascii="Arial" w:hAnsi="Arial" w:cs="Arial"/>
          <w:sz w:val="24"/>
          <w:szCs w:val="24"/>
        </w:rPr>
        <w:t>).</w:t>
      </w:r>
    </w:p>
    <w:p w14:paraId="4B2FBEA9" w14:textId="77777777" w:rsidR="00FD4CF2" w:rsidRPr="00FD4CF2" w:rsidRDefault="00805C18" w:rsidP="00FD4CF2">
      <w:pPr>
        <w:spacing w:after="0" w:line="240" w:lineRule="auto"/>
        <w:jc w:val="center"/>
        <w:rPr>
          <w:rFonts w:ascii="Arial" w:hAnsi="Arial" w:cs="Arial"/>
          <w:b/>
          <w:u w:val="single"/>
        </w:rPr>
      </w:pPr>
      <w:r w:rsidRPr="00D163C6">
        <w:rPr>
          <w:b/>
        </w:rPr>
        <w:br w:type="page"/>
      </w:r>
      <w:r w:rsidR="00FD4CF2" w:rsidRPr="00FD4CF2">
        <w:rPr>
          <w:rFonts w:ascii="Arial" w:hAnsi="Arial" w:cs="Arial"/>
          <w:b/>
          <w:u w:val="single"/>
        </w:rPr>
        <w:lastRenderedPageBreak/>
        <w:t xml:space="preserve">Education Safeguarding &amp; Early Help </w:t>
      </w:r>
    </w:p>
    <w:p w14:paraId="01B23DBA" w14:textId="77777777" w:rsidR="00FD4CF2" w:rsidRPr="00FD4CF2" w:rsidRDefault="00FD4CF2" w:rsidP="00FD4CF2">
      <w:pPr>
        <w:spacing w:after="0" w:line="240" w:lineRule="auto"/>
        <w:jc w:val="center"/>
        <w:rPr>
          <w:rFonts w:ascii="Arial" w:hAnsi="Arial" w:cs="Arial"/>
          <w:b/>
          <w:u w:val="single"/>
        </w:rPr>
      </w:pPr>
    </w:p>
    <w:p w14:paraId="2DF6C45D" w14:textId="77777777" w:rsidR="00FD4CF2" w:rsidRPr="00FD4CF2" w:rsidRDefault="00FD4CF2" w:rsidP="00FD4CF2">
      <w:pPr>
        <w:spacing w:after="0" w:line="240" w:lineRule="auto"/>
        <w:rPr>
          <w:rFonts w:ascii="Arial" w:hAnsi="Arial" w:cs="Arial"/>
          <w:sz w:val="16"/>
          <w:szCs w:val="16"/>
        </w:rPr>
      </w:pPr>
    </w:p>
    <w:p w14:paraId="6ED7FBAD" w14:textId="77777777" w:rsidR="00FD4CF2" w:rsidRPr="00FD4CF2" w:rsidRDefault="00FD4CF2" w:rsidP="00FD4CF2">
      <w:pPr>
        <w:spacing w:after="0" w:line="240" w:lineRule="auto"/>
        <w:ind w:right="-1134"/>
        <w:rPr>
          <w:rFonts w:ascii="Arial" w:hAnsi="Arial" w:cs="Arial"/>
          <w:b/>
        </w:rPr>
      </w:pPr>
      <w:r w:rsidRPr="00FD4CF2">
        <w:rPr>
          <w:rFonts w:ascii="Arial" w:hAnsi="Arial" w:cs="Arial"/>
          <w:b/>
        </w:rPr>
        <w:t xml:space="preserve">Introduction: </w:t>
      </w:r>
    </w:p>
    <w:p w14:paraId="6EDF0F29" w14:textId="77777777" w:rsidR="00FD4CF2" w:rsidRPr="00FD4CF2" w:rsidRDefault="00FD4CF2" w:rsidP="00FD4CF2">
      <w:pPr>
        <w:spacing w:after="0"/>
        <w:ind w:right="-1134"/>
        <w:jc w:val="both"/>
        <w:rPr>
          <w:rFonts w:ascii="Arial" w:hAnsi="Arial" w:cs="Arial"/>
          <w:sz w:val="16"/>
          <w:szCs w:val="16"/>
        </w:rPr>
      </w:pPr>
    </w:p>
    <w:p w14:paraId="7E5586B6" w14:textId="410A2758" w:rsidR="00FD4CF2" w:rsidRPr="00FD4CF2" w:rsidRDefault="00FD4CF2" w:rsidP="00FD4CF2">
      <w:pPr>
        <w:spacing w:after="0"/>
        <w:ind w:right="-1134"/>
        <w:jc w:val="both"/>
        <w:rPr>
          <w:rFonts w:ascii="Arial" w:hAnsi="Arial" w:cs="Arial"/>
          <w:sz w:val="16"/>
          <w:szCs w:val="16"/>
        </w:rPr>
      </w:pPr>
      <w:r w:rsidRPr="00FD4CF2">
        <w:rPr>
          <w:rFonts w:ascii="Arial" w:hAnsi="Arial" w:cs="Arial"/>
        </w:rPr>
        <w:t xml:space="preserve">In January 2019 Schools Forum agreed the continuation of £262,000 funding from the Dedicated Schools Grant to support the </w:t>
      </w:r>
      <w:r w:rsidR="00D45FE7">
        <w:rPr>
          <w:rFonts w:ascii="Arial" w:hAnsi="Arial" w:cs="Arial"/>
        </w:rPr>
        <w:t>Children’s Advice &amp; Support Service (</w:t>
      </w:r>
      <w:r w:rsidRPr="00FD4CF2">
        <w:rPr>
          <w:rFonts w:ascii="Arial" w:hAnsi="Arial" w:cs="Arial"/>
        </w:rPr>
        <w:t>CASS</w:t>
      </w:r>
      <w:r w:rsidR="00D45FE7">
        <w:rPr>
          <w:rFonts w:ascii="Arial" w:hAnsi="Arial" w:cs="Arial"/>
        </w:rPr>
        <w:t>)</w:t>
      </w:r>
      <w:r w:rsidRPr="00FD4CF2">
        <w:rPr>
          <w:rFonts w:ascii="Arial" w:hAnsi="Arial" w:cs="Arial"/>
        </w:rPr>
        <w:t xml:space="preserve"> Education Team and Birmingham Children’s Trust Early Help Support Team. </w:t>
      </w:r>
    </w:p>
    <w:p w14:paraId="321DE6D5" w14:textId="77777777" w:rsidR="00FD4CF2" w:rsidRPr="00FD4CF2" w:rsidRDefault="00FD4CF2" w:rsidP="00FD4CF2">
      <w:pPr>
        <w:spacing w:after="0" w:line="240" w:lineRule="auto"/>
        <w:ind w:right="-1134"/>
        <w:jc w:val="both"/>
        <w:rPr>
          <w:rFonts w:ascii="Arial" w:hAnsi="Arial" w:cs="Arial"/>
        </w:rPr>
      </w:pPr>
    </w:p>
    <w:p w14:paraId="402D56D1" w14:textId="77777777" w:rsidR="00FD4CF2" w:rsidRPr="00FD4CF2" w:rsidRDefault="00FD4CF2" w:rsidP="00FD4CF2">
      <w:pPr>
        <w:spacing w:after="0" w:line="240" w:lineRule="auto"/>
        <w:ind w:right="-1134"/>
        <w:jc w:val="both"/>
        <w:rPr>
          <w:rFonts w:ascii="Arial" w:hAnsi="Arial" w:cs="Arial"/>
        </w:rPr>
      </w:pPr>
      <w:r w:rsidRPr="00FD4CF2">
        <w:rPr>
          <w:rFonts w:ascii="Arial" w:hAnsi="Arial" w:cs="Arial"/>
        </w:rPr>
        <w:t>This offer ensures that Schools are supported to fulfil the requirements of Right Help, Right time and ‘Keeping Children Safe in Education (KCSIE) 2019.</w:t>
      </w:r>
    </w:p>
    <w:p w14:paraId="266856CF" w14:textId="77777777" w:rsidR="00FD4CF2" w:rsidRPr="00FD4CF2" w:rsidRDefault="00FD4CF2" w:rsidP="00FD4CF2">
      <w:pPr>
        <w:spacing w:after="0" w:line="240" w:lineRule="auto"/>
        <w:ind w:right="-1134"/>
        <w:jc w:val="both"/>
        <w:rPr>
          <w:rFonts w:ascii="Arial" w:hAnsi="Arial" w:cs="Arial"/>
          <w:sz w:val="16"/>
          <w:szCs w:val="16"/>
        </w:rPr>
      </w:pPr>
    </w:p>
    <w:p w14:paraId="0BD71699" w14:textId="77777777" w:rsidR="00FD4CF2" w:rsidRPr="00FD4CF2" w:rsidRDefault="00FD4CF2" w:rsidP="00FD4CF2">
      <w:pPr>
        <w:spacing w:after="0" w:line="240" w:lineRule="auto"/>
        <w:ind w:right="-1134"/>
        <w:contextualSpacing/>
        <w:rPr>
          <w:rFonts w:ascii="Arial" w:hAnsi="Arial" w:cs="Arial"/>
          <w:b/>
        </w:rPr>
      </w:pPr>
      <w:r w:rsidRPr="00FD4CF2">
        <w:rPr>
          <w:rFonts w:ascii="Arial" w:hAnsi="Arial" w:cs="Arial"/>
          <w:b/>
        </w:rPr>
        <w:t>This is a request for the funding arrangements to continue for 202</w:t>
      </w:r>
      <w:r w:rsidR="00D37235">
        <w:rPr>
          <w:rFonts w:ascii="Arial" w:hAnsi="Arial" w:cs="Arial"/>
          <w:b/>
        </w:rPr>
        <w:t>2</w:t>
      </w:r>
      <w:r w:rsidRPr="00FD4CF2">
        <w:rPr>
          <w:rFonts w:ascii="Arial" w:hAnsi="Arial" w:cs="Arial"/>
          <w:b/>
        </w:rPr>
        <w:t>/202</w:t>
      </w:r>
      <w:r w:rsidR="00D37235">
        <w:rPr>
          <w:rFonts w:ascii="Arial" w:hAnsi="Arial" w:cs="Arial"/>
          <w:b/>
        </w:rPr>
        <w:t>3</w:t>
      </w:r>
      <w:r w:rsidRPr="00FD4CF2">
        <w:rPr>
          <w:rFonts w:ascii="Arial" w:hAnsi="Arial" w:cs="Arial"/>
          <w:b/>
        </w:rPr>
        <w:t>.</w:t>
      </w:r>
    </w:p>
    <w:p w14:paraId="558AA56D" w14:textId="77777777" w:rsidR="00FD4CF2" w:rsidRPr="00FD4CF2" w:rsidRDefault="00FD4CF2" w:rsidP="00FD4CF2">
      <w:pPr>
        <w:spacing w:after="0" w:line="240" w:lineRule="auto"/>
        <w:ind w:right="-1134"/>
        <w:contextualSpacing/>
        <w:rPr>
          <w:rFonts w:ascii="Arial" w:hAnsi="Arial" w:cs="Arial"/>
          <w:color w:val="000000"/>
          <w:sz w:val="16"/>
          <w:szCs w:val="16"/>
        </w:rPr>
      </w:pPr>
    </w:p>
    <w:p w14:paraId="42F92921" w14:textId="77777777" w:rsidR="00FD4CF2" w:rsidRPr="00FD4CF2" w:rsidRDefault="00FD4CF2" w:rsidP="00FD4CF2">
      <w:pPr>
        <w:spacing w:after="0" w:line="240" w:lineRule="auto"/>
        <w:ind w:right="-1134"/>
        <w:contextualSpacing/>
        <w:rPr>
          <w:rFonts w:ascii="Arial" w:eastAsia="+mn-ea" w:hAnsi="Arial" w:cs="Arial"/>
          <w:b/>
          <w:color w:val="000000"/>
          <w:kern w:val="24"/>
          <w:u w:val="single"/>
          <w:lang w:eastAsia="en-GB"/>
        </w:rPr>
      </w:pPr>
    </w:p>
    <w:p w14:paraId="6BABAB5B" w14:textId="77777777" w:rsidR="00FD4CF2" w:rsidRPr="00FD4CF2" w:rsidRDefault="00FD4CF2" w:rsidP="00FD4CF2">
      <w:pPr>
        <w:spacing w:after="0"/>
        <w:ind w:right="-1134"/>
        <w:jc w:val="both"/>
        <w:rPr>
          <w:rFonts w:ascii="Arial" w:hAnsi="Arial" w:cs="Arial"/>
          <w:b/>
          <w:u w:val="single"/>
        </w:rPr>
      </w:pPr>
      <w:r w:rsidRPr="00FD4CF2">
        <w:rPr>
          <w:rFonts w:ascii="Arial" w:hAnsi="Arial" w:cs="Arial"/>
          <w:b/>
          <w:u w:val="single"/>
        </w:rPr>
        <w:t>Local Authority CASS Education Team</w:t>
      </w:r>
    </w:p>
    <w:p w14:paraId="33D9B021" w14:textId="77777777" w:rsidR="00FD4CF2" w:rsidRPr="00FD4CF2" w:rsidRDefault="00FD4CF2" w:rsidP="00FD4CF2">
      <w:pPr>
        <w:spacing w:after="0"/>
        <w:ind w:right="-1134"/>
        <w:jc w:val="both"/>
        <w:rPr>
          <w:rFonts w:ascii="Arial" w:hAnsi="Arial" w:cs="Arial"/>
          <w:b/>
          <w:u w:val="single"/>
        </w:rPr>
      </w:pPr>
      <w:r w:rsidRPr="00FD4CF2">
        <w:rPr>
          <w:rFonts w:ascii="Arial" w:hAnsi="Arial" w:cs="Arial"/>
          <w:b/>
        </w:rPr>
        <w:t>Continued DSG funding requested</w:t>
      </w:r>
    </w:p>
    <w:p w14:paraId="4146B562" w14:textId="77777777" w:rsidR="00FD4CF2" w:rsidRPr="00FD4CF2" w:rsidRDefault="00FD4CF2" w:rsidP="00FD4CF2">
      <w:pPr>
        <w:spacing w:after="0"/>
        <w:ind w:right="-1134"/>
        <w:jc w:val="both"/>
        <w:rPr>
          <w:rFonts w:ascii="Arial" w:hAnsi="Arial" w:cs="Arial"/>
          <w:b/>
        </w:rPr>
      </w:pPr>
      <w:r w:rsidRPr="00FD4CF2">
        <w:rPr>
          <w:rFonts w:ascii="Arial" w:hAnsi="Arial" w:cs="Arial"/>
        </w:rPr>
        <w:t xml:space="preserve">£192,661 to continue to be allocated as follows: </w:t>
      </w:r>
    </w:p>
    <w:p w14:paraId="50A950CF" w14:textId="77777777" w:rsidR="00FD4CF2" w:rsidRPr="00FD4CF2" w:rsidRDefault="00FD4CF2" w:rsidP="00FD4CF2">
      <w:pPr>
        <w:numPr>
          <w:ilvl w:val="1"/>
          <w:numId w:val="38"/>
        </w:numPr>
        <w:spacing w:after="0" w:line="240" w:lineRule="auto"/>
        <w:ind w:right="-1134"/>
        <w:contextualSpacing/>
        <w:jc w:val="both"/>
        <w:textAlignment w:val="baseline"/>
        <w:rPr>
          <w:rFonts w:ascii="Arial" w:eastAsia="Times New Roman" w:hAnsi="Arial" w:cs="Arial"/>
          <w:lang w:eastAsia="en-GB"/>
        </w:rPr>
      </w:pPr>
      <w:r w:rsidRPr="00FD4CF2">
        <w:rPr>
          <w:rFonts w:ascii="Arial" w:eastAsia="Times New Roman" w:hAnsi="Arial" w:cs="Arial"/>
          <w:lang w:eastAsia="en-GB"/>
        </w:rPr>
        <w:t xml:space="preserve">1.00 fte Deputy Head/ DSL </w:t>
      </w:r>
    </w:p>
    <w:p w14:paraId="0A8DF7BC" w14:textId="77777777" w:rsidR="00FD4CF2" w:rsidRPr="00FD4CF2" w:rsidRDefault="00FD4CF2" w:rsidP="00FD4CF2">
      <w:pPr>
        <w:numPr>
          <w:ilvl w:val="1"/>
          <w:numId w:val="38"/>
        </w:numPr>
        <w:spacing w:after="0" w:line="240" w:lineRule="auto"/>
        <w:ind w:right="-1134"/>
        <w:contextualSpacing/>
        <w:jc w:val="both"/>
        <w:textAlignment w:val="baseline"/>
        <w:rPr>
          <w:rFonts w:ascii="Arial" w:eastAsia="Times New Roman" w:hAnsi="Arial" w:cs="Arial"/>
          <w:lang w:eastAsia="en-GB"/>
        </w:rPr>
      </w:pPr>
      <w:r w:rsidRPr="00FD4CF2">
        <w:rPr>
          <w:rFonts w:ascii="Arial" w:eastAsia="Times New Roman" w:hAnsi="Arial" w:cs="Arial"/>
          <w:lang w:eastAsia="en-GB"/>
        </w:rPr>
        <w:t>1.00 fte School Support Officer</w:t>
      </w:r>
    </w:p>
    <w:p w14:paraId="0365954F" w14:textId="77777777" w:rsidR="00FD4CF2" w:rsidRPr="00FD4CF2" w:rsidRDefault="00FD4CF2" w:rsidP="00FD4CF2">
      <w:pPr>
        <w:numPr>
          <w:ilvl w:val="1"/>
          <w:numId w:val="38"/>
        </w:numPr>
        <w:spacing w:after="0" w:line="240" w:lineRule="auto"/>
        <w:ind w:right="-1134"/>
        <w:contextualSpacing/>
        <w:jc w:val="both"/>
        <w:textAlignment w:val="baseline"/>
        <w:rPr>
          <w:rFonts w:ascii="Arial" w:eastAsia="Times New Roman" w:hAnsi="Arial" w:cs="Arial"/>
          <w:lang w:eastAsia="en-GB"/>
        </w:rPr>
      </w:pPr>
      <w:r w:rsidRPr="00FD4CF2">
        <w:rPr>
          <w:rFonts w:ascii="Arial" w:eastAsia="Times New Roman" w:hAnsi="Arial" w:cs="Arial"/>
          <w:lang w:eastAsia="en-GB"/>
        </w:rPr>
        <w:t>1.00 fte Additional CASS Deputy Head DSLs. (arranged through an SLA with schools)</w:t>
      </w:r>
    </w:p>
    <w:p w14:paraId="6B1D990A" w14:textId="77777777" w:rsidR="00FD4CF2" w:rsidRPr="00FD4CF2" w:rsidRDefault="00FD4CF2" w:rsidP="00FD4CF2">
      <w:pPr>
        <w:spacing w:after="0" w:line="240" w:lineRule="auto"/>
        <w:ind w:right="-1134"/>
        <w:contextualSpacing/>
        <w:rPr>
          <w:rFonts w:ascii="Arial" w:eastAsia="+mn-ea" w:hAnsi="Arial" w:cs="Arial"/>
          <w:b/>
          <w:color w:val="000000"/>
          <w:kern w:val="24"/>
          <w:lang w:eastAsia="en-GB"/>
        </w:rPr>
      </w:pPr>
    </w:p>
    <w:p w14:paraId="69850E50" w14:textId="77777777" w:rsidR="00FD4CF2" w:rsidRPr="00FD4CF2" w:rsidRDefault="00FD4CF2" w:rsidP="00FD4CF2">
      <w:pPr>
        <w:autoSpaceDE w:val="0"/>
        <w:autoSpaceDN w:val="0"/>
        <w:adjustRightInd w:val="0"/>
        <w:spacing w:after="0" w:line="240" w:lineRule="auto"/>
        <w:ind w:right="-1134"/>
        <w:rPr>
          <w:rFonts w:ascii="Arial" w:hAnsi="Arial" w:cs="Arial"/>
          <w:b/>
          <w:color w:val="000000"/>
          <w:lang w:eastAsia="en-GB"/>
        </w:rPr>
      </w:pPr>
      <w:r w:rsidRPr="00FD4CF2">
        <w:rPr>
          <w:rFonts w:ascii="Arial" w:hAnsi="Arial" w:cs="Arial"/>
          <w:b/>
          <w:color w:val="000000"/>
          <w:lang w:eastAsia="en-GB"/>
        </w:rPr>
        <w:t xml:space="preserve">Core Offer </w:t>
      </w:r>
    </w:p>
    <w:p w14:paraId="308312AB" w14:textId="77777777" w:rsidR="00FD4CF2" w:rsidRPr="00FD4CF2" w:rsidRDefault="00FD4CF2" w:rsidP="00FD4CF2">
      <w:pPr>
        <w:autoSpaceDE w:val="0"/>
        <w:autoSpaceDN w:val="0"/>
        <w:adjustRightInd w:val="0"/>
        <w:spacing w:after="0" w:line="240" w:lineRule="auto"/>
        <w:ind w:right="-1134"/>
        <w:rPr>
          <w:rFonts w:ascii="Arial" w:hAnsi="Arial" w:cs="Arial"/>
          <w:color w:val="000000"/>
          <w:lang w:eastAsia="en-GB"/>
        </w:rPr>
      </w:pPr>
    </w:p>
    <w:p w14:paraId="2F6FEA69" w14:textId="77777777" w:rsidR="00FD4CF2" w:rsidRPr="00FD4CF2" w:rsidRDefault="00FD4CF2" w:rsidP="00FD4CF2">
      <w:pPr>
        <w:spacing w:after="0"/>
        <w:ind w:right="-1134"/>
        <w:jc w:val="both"/>
        <w:rPr>
          <w:rFonts w:ascii="Arial" w:hAnsi="Arial" w:cs="Arial"/>
        </w:rPr>
      </w:pPr>
      <w:r w:rsidRPr="00FD4CF2">
        <w:rPr>
          <w:rFonts w:ascii="Arial" w:hAnsi="Arial" w:cs="Arial"/>
        </w:rPr>
        <w:t>The CASS Education team has developed in the past 4 years to support this wider delivery of Early Help within Education, this is in addition to the services provided to schools through annual subscription. Delivery includes;</w:t>
      </w:r>
    </w:p>
    <w:p w14:paraId="73809223" w14:textId="77777777" w:rsidR="00FD4CF2" w:rsidRPr="00FD4CF2" w:rsidRDefault="00FD4CF2" w:rsidP="00FD4CF2">
      <w:pPr>
        <w:numPr>
          <w:ilvl w:val="0"/>
          <w:numId w:val="39"/>
        </w:numPr>
        <w:spacing w:after="0"/>
        <w:ind w:right="-1134"/>
        <w:jc w:val="both"/>
        <w:rPr>
          <w:rFonts w:ascii="Arial" w:hAnsi="Arial" w:cs="Arial"/>
        </w:rPr>
      </w:pPr>
      <w:r w:rsidRPr="00FD4CF2">
        <w:rPr>
          <w:rFonts w:ascii="Arial" w:hAnsi="Arial" w:cs="Arial"/>
        </w:rPr>
        <w:t>Strategic Education representation for partnership initiatives e.g. families in temporary accommodation</w:t>
      </w:r>
    </w:p>
    <w:p w14:paraId="26733A4F" w14:textId="77777777" w:rsidR="00FD4CF2" w:rsidRPr="00FD4CF2" w:rsidRDefault="00FD4CF2" w:rsidP="00FD4CF2">
      <w:pPr>
        <w:numPr>
          <w:ilvl w:val="0"/>
          <w:numId w:val="39"/>
        </w:numPr>
        <w:spacing w:after="0"/>
        <w:ind w:right="-1134"/>
        <w:jc w:val="both"/>
        <w:rPr>
          <w:rFonts w:ascii="Arial" w:hAnsi="Arial" w:cs="Arial"/>
        </w:rPr>
      </w:pPr>
      <w:r w:rsidRPr="00FD4CF2">
        <w:rPr>
          <w:rFonts w:ascii="Arial" w:hAnsi="Arial" w:cs="Arial"/>
        </w:rPr>
        <w:t>Development of Education specific guidance on emerging issues within CASS e.g. sexting / harmful sexual behaviours</w:t>
      </w:r>
    </w:p>
    <w:p w14:paraId="2D90AA43" w14:textId="77777777" w:rsidR="00FD4CF2" w:rsidRPr="00FD4CF2" w:rsidRDefault="00FD4CF2" w:rsidP="00FD4CF2">
      <w:pPr>
        <w:numPr>
          <w:ilvl w:val="0"/>
          <w:numId w:val="39"/>
        </w:numPr>
        <w:spacing w:after="0"/>
        <w:ind w:right="-1134"/>
        <w:jc w:val="both"/>
        <w:rPr>
          <w:rFonts w:ascii="Arial" w:hAnsi="Arial" w:cs="Arial"/>
        </w:rPr>
      </w:pPr>
      <w:r w:rsidRPr="00FD4CF2">
        <w:rPr>
          <w:rFonts w:ascii="Arial" w:hAnsi="Arial" w:cs="Arial"/>
        </w:rPr>
        <w:t>Advice, guidance and quality assurance of requests for support submitted to CASS</w:t>
      </w:r>
    </w:p>
    <w:p w14:paraId="21E0A3B5" w14:textId="77777777" w:rsidR="00FD4CF2" w:rsidRPr="00FD4CF2" w:rsidRDefault="00FD4CF2" w:rsidP="00FD4CF2">
      <w:pPr>
        <w:numPr>
          <w:ilvl w:val="0"/>
          <w:numId w:val="39"/>
        </w:numPr>
        <w:spacing w:after="0"/>
        <w:ind w:right="-1134"/>
        <w:jc w:val="both"/>
        <w:rPr>
          <w:rFonts w:ascii="Arial" w:hAnsi="Arial" w:cs="Arial"/>
        </w:rPr>
      </w:pPr>
      <w:r w:rsidRPr="00FD4CF2">
        <w:rPr>
          <w:rFonts w:ascii="Arial" w:hAnsi="Arial" w:cs="Arial"/>
        </w:rPr>
        <w:t>Detailed feedback to support delivery of Early Help following CASS outcomes</w:t>
      </w:r>
    </w:p>
    <w:p w14:paraId="41F528A7" w14:textId="77777777" w:rsidR="00FD4CF2" w:rsidRPr="00FD4CF2" w:rsidRDefault="00FD4CF2" w:rsidP="00FD4CF2">
      <w:pPr>
        <w:numPr>
          <w:ilvl w:val="0"/>
          <w:numId w:val="39"/>
        </w:numPr>
        <w:spacing w:after="0"/>
        <w:ind w:right="-1134"/>
        <w:jc w:val="both"/>
        <w:rPr>
          <w:rFonts w:ascii="Arial" w:hAnsi="Arial" w:cs="Arial"/>
        </w:rPr>
      </w:pPr>
      <w:r w:rsidRPr="00FD4CF2">
        <w:rPr>
          <w:rFonts w:ascii="Arial" w:hAnsi="Arial" w:cs="Arial"/>
        </w:rPr>
        <w:t>Support to schools contributing to strategy discussions and delivering support to children within a social care plan</w:t>
      </w:r>
    </w:p>
    <w:p w14:paraId="75255699" w14:textId="77777777" w:rsidR="00FD4CF2" w:rsidRPr="00FD4CF2" w:rsidRDefault="00FD4CF2" w:rsidP="00FD4CF2">
      <w:pPr>
        <w:numPr>
          <w:ilvl w:val="0"/>
          <w:numId w:val="39"/>
        </w:numPr>
        <w:spacing w:after="0"/>
        <w:ind w:right="-1134"/>
        <w:jc w:val="both"/>
        <w:rPr>
          <w:rFonts w:ascii="Arial" w:hAnsi="Arial" w:cs="Arial"/>
        </w:rPr>
      </w:pPr>
      <w:r w:rsidRPr="00FD4CF2">
        <w:rPr>
          <w:rFonts w:ascii="Arial" w:hAnsi="Arial" w:cs="Arial"/>
        </w:rPr>
        <w:t>Intensive support to schools where a” critical near miss” has been identified</w:t>
      </w:r>
    </w:p>
    <w:p w14:paraId="347813CF" w14:textId="77777777" w:rsidR="00FD4CF2" w:rsidRPr="00FD4CF2" w:rsidRDefault="00FD4CF2" w:rsidP="00FD4CF2">
      <w:pPr>
        <w:numPr>
          <w:ilvl w:val="0"/>
          <w:numId w:val="39"/>
        </w:numPr>
        <w:spacing w:after="0"/>
        <w:ind w:right="-1134"/>
        <w:jc w:val="both"/>
        <w:rPr>
          <w:rFonts w:ascii="Arial" w:hAnsi="Arial" w:cs="Arial"/>
        </w:rPr>
      </w:pPr>
      <w:r w:rsidRPr="00FD4CF2">
        <w:rPr>
          <w:rFonts w:ascii="Arial" w:hAnsi="Arial" w:cs="Arial"/>
        </w:rPr>
        <w:t>Notification to Head teachers attending ICPCs during school holidays</w:t>
      </w:r>
    </w:p>
    <w:p w14:paraId="7D9CB926" w14:textId="77777777" w:rsidR="00FD4CF2" w:rsidRPr="00FD4CF2" w:rsidRDefault="00FD4CF2" w:rsidP="00FD4CF2">
      <w:pPr>
        <w:numPr>
          <w:ilvl w:val="0"/>
          <w:numId w:val="39"/>
        </w:numPr>
        <w:spacing w:after="0"/>
        <w:ind w:right="-1134"/>
        <w:jc w:val="both"/>
        <w:rPr>
          <w:rFonts w:ascii="Arial" w:hAnsi="Arial" w:cs="Arial"/>
        </w:rPr>
      </w:pPr>
      <w:r w:rsidRPr="00FD4CF2">
        <w:rPr>
          <w:rFonts w:ascii="Arial" w:hAnsi="Arial" w:cs="Arial"/>
        </w:rPr>
        <w:t>Advice, guidance and support to schools where difficulties have arisen within social work allocated cases</w:t>
      </w:r>
    </w:p>
    <w:p w14:paraId="0077D58E" w14:textId="77777777" w:rsidR="00FD4CF2" w:rsidRPr="00FD4CF2" w:rsidRDefault="00FD4CF2" w:rsidP="00FD4CF2">
      <w:pPr>
        <w:numPr>
          <w:ilvl w:val="0"/>
          <w:numId w:val="39"/>
        </w:numPr>
        <w:spacing w:after="0"/>
        <w:ind w:right="-1134"/>
        <w:jc w:val="both"/>
        <w:rPr>
          <w:rFonts w:ascii="Arial" w:hAnsi="Arial" w:cs="Arial"/>
        </w:rPr>
      </w:pPr>
      <w:r w:rsidRPr="00FD4CF2">
        <w:rPr>
          <w:rFonts w:ascii="Arial" w:hAnsi="Arial" w:cs="Arial"/>
        </w:rPr>
        <w:t>Bespoke support to schools identifying school based Early Help and possible “PBR” submissions</w:t>
      </w:r>
    </w:p>
    <w:p w14:paraId="104847AF" w14:textId="77777777" w:rsidR="00FD4CF2" w:rsidRPr="00FD4CF2" w:rsidRDefault="00FD4CF2" w:rsidP="00FD4CF2">
      <w:pPr>
        <w:numPr>
          <w:ilvl w:val="0"/>
          <w:numId w:val="39"/>
        </w:numPr>
        <w:spacing w:after="0"/>
        <w:ind w:right="-1134"/>
        <w:jc w:val="both"/>
        <w:rPr>
          <w:rFonts w:ascii="Arial" w:hAnsi="Arial" w:cs="Arial"/>
        </w:rPr>
      </w:pPr>
      <w:r w:rsidRPr="00FD4CF2">
        <w:rPr>
          <w:rFonts w:ascii="Arial" w:hAnsi="Arial" w:cs="Arial"/>
        </w:rPr>
        <w:t>Early Help support within learning reviews for school settings</w:t>
      </w:r>
    </w:p>
    <w:p w14:paraId="3FF2C6AA" w14:textId="77777777" w:rsidR="00FD4CF2" w:rsidRPr="00FD4CF2" w:rsidRDefault="00FD4CF2" w:rsidP="00FD4CF2">
      <w:pPr>
        <w:spacing w:after="0"/>
        <w:ind w:left="720" w:right="-1134"/>
        <w:jc w:val="both"/>
        <w:rPr>
          <w:rFonts w:ascii="Arial" w:hAnsi="Arial" w:cs="Arial"/>
        </w:rPr>
      </w:pPr>
    </w:p>
    <w:p w14:paraId="5FBC2EAD" w14:textId="77777777" w:rsidR="00FD4CF2" w:rsidRPr="00FD4CF2" w:rsidRDefault="00FD4CF2" w:rsidP="00FD4CF2">
      <w:pPr>
        <w:spacing w:after="0"/>
        <w:ind w:right="-1134"/>
        <w:jc w:val="both"/>
        <w:rPr>
          <w:rFonts w:ascii="Arial" w:hAnsi="Arial" w:cs="Arial"/>
        </w:rPr>
      </w:pPr>
      <w:r w:rsidRPr="00FD4CF2">
        <w:rPr>
          <w:rFonts w:ascii="Arial" w:hAnsi="Arial" w:cs="Arial"/>
        </w:rPr>
        <w:t>Following city wide briefings</w:t>
      </w:r>
      <w:r w:rsidR="00293A6A">
        <w:rPr>
          <w:rFonts w:ascii="Arial" w:hAnsi="Arial" w:cs="Arial"/>
        </w:rPr>
        <w:t xml:space="preserve"> last</w:t>
      </w:r>
      <w:r w:rsidRPr="00FD4CF2">
        <w:rPr>
          <w:rFonts w:ascii="Arial" w:hAnsi="Arial" w:cs="Arial"/>
        </w:rPr>
        <w:t xml:space="preserve"> October, schools identified ongoing development needs to both the strategic and operational interface with the Children`s Trust. Most notability, safeguarding children with SEND. The CASS Education team will take this forward as part of an improved offer to schools.</w:t>
      </w:r>
    </w:p>
    <w:p w14:paraId="51578CF2" w14:textId="77777777" w:rsidR="00FD4CF2" w:rsidRPr="00FD4CF2" w:rsidRDefault="00FD4CF2" w:rsidP="00FD4CF2">
      <w:pPr>
        <w:spacing w:after="0"/>
        <w:ind w:right="-1134"/>
        <w:jc w:val="both"/>
        <w:rPr>
          <w:rFonts w:ascii="Arial" w:hAnsi="Arial" w:cs="Arial"/>
        </w:rPr>
      </w:pPr>
    </w:p>
    <w:p w14:paraId="26C7018C" w14:textId="77777777" w:rsidR="00FD4CF2" w:rsidRPr="00FD4CF2" w:rsidRDefault="00FD4CF2" w:rsidP="00FD4CF2">
      <w:pPr>
        <w:spacing w:after="0"/>
        <w:ind w:right="-1134"/>
        <w:jc w:val="both"/>
        <w:rPr>
          <w:rFonts w:ascii="Arial" w:hAnsi="Arial" w:cs="Arial"/>
        </w:rPr>
      </w:pPr>
    </w:p>
    <w:p w14:paraId="3B932556" w14:textId="77777777" w:rsidR="00FD4CF2" w:rsidRPr="00FD4CF2" w:rsidRDefault="00FD4CF2" w:rsidP="00FD4CF2">
      <w:pPr>
        <w:spacing w:after="0"/>
        <w:ind w:right="-1134"/>
        <w:jc w:val="both"/>
        <w:rPr>
          <w:rFonts w:ascii="Arial" w:hAnsi="Arial" w:cs="Arial"/>
        </w:rPr>
      </w:pPr>
    </w:p>
    <w:p w14:paraId="170C270A" w14:textId="77777777" w:rsidR="00FD4CF2" w:rsidRPr="00FD4CF2" w:rsidRDefault="00FD4CF2" w:rsidP="00FD4CF2">
      <w:pPr>
        <w:spacing w:after="0"/>
        <w:ind w:right="-1134"/>
        <w:jc w:val="both"/>
        <w:rPr>
          <w:rFonts w:ascii="Arial" w:hAnsi="Arial" w:cs="Arial"/>
          <w:b/>
          <w:color w:val="FF0000"/>
        </w:rPr>
      </w:pPr>
    </w:p>
    <w:p w14:paraId="48427975" w14:textId="77777777" w:rsidR="00FD4CF2" w:rsidRPr="00FD4CF2" w:rsidRDefault="00FD4CF2" w:rsidP="00FD4CF2">
      <w:pPr>
        <w:spacing w:after="0"/>
        <w:ind w:right="-1134"/>
        <w:jc w:val="both"/>
        <w:rPr>
          <w:rFonts w:ascii="Arial" w:hAnsi="Arial" w:cs="Arial"/>
          <w:b/>
          <w:color w:val="FF0000"/>
        </w:rPr>
      </w:pPr>
    </w:p>
    <w:p w14:paraId="393A5AA4" w14:textId="77777777" w:rsidR="00FD4CF2" w:rsidRDefault="00FD4CF2" w:rsidP="00FD4CF2">
      <w:pPr>
        <w:spacing w:after="0"/>
        <w:ind w:right="-1134"/>
        <w:jc w:val="both"/>
        <w:rPr>
          <w:rFonts w:ascii="Arial" w:hAnsi="Arial" w:cs="Arial"/>
          <w:b/>
        </w:rPr>
      </w:pPr>
      <w:r w:rsidRPr="00FD4CF2">
        <w:rPr>
          <w:rFonts w:ascii="Arial" w:hAnsi="Arial" w:cs="Arial"/>
          <w:b/>
        </w:rPr>
        <w:t>The Children`s Trust Early Help Support Team</w:t>
      </w:r>
    </w:p>
    <w:p w14:paraId="0EB416F4" w14:textId="77777777" w:rsidR="00FD4CF2" w:rsidRPr="00FD4CF2" w:rsidRDefault="00FD4CF2" w:rsidP="00FD4CF2">
      <w:pPr>
        <w:spacing w:after="0"/>
        <w:ind w:right="-1134"/>
        <w:jc w:val="both"/>
        <w:rPr>
          <w:rFonts w:ascii="Arial" w:hAnsi="Arial" w:cs="Arial"/>
          <w:b/>
        </w:rPr>
      </w:pPr>
    </w:p>
    <w:p w14:paraId="2DE14C28" w14:textId="77777777" w:rsidR="00FD4CF2" w:rsidRPr="00FD4CF2" w:rsidRDefault="00FD4CF2" w:rsidP="00FD4CF2">
      <w:pPr>
        <w:spacing w:after="0" w:line="240" w:lineRule="auto"/>
        <w:ind w:right="-1134"/>
        <w:contextualSpacing/>
        <w:jc w:val="both"/>
        <w:textAlignment w:val="baseline"/>
        <w:rPr>
          <w:rFonts w:ascii="Arial" w:eastAsia="Times New Roman" w:hAnsi="Arial" w:cs="Arial"/>
          <w:b/>
          <w:color w:val="000000"/>
          <w:lang w:eastAsia="en-GB"/>
        </w:rPr>
      </w:pPr>
      <w:r w:rsidRPr="00FD4CF2">
        <w:rPr>
          <w:rFonts w:ascii="Arial" w:eastAsia="Times New Roman" w:hAnsi="Arial" w:cs="Arial"/>
          <w:b/>
          <w:color w:val="000000"/>
          <w:lang w:eastAsia="en-GB"/>
        </w:rPr>
        <w:t xml:space="preserve">Continued DSG funding requested </w:t>
      </w:r>
    </w:p>
    <w:p w14:paraId="3733793E" w14:textId="77777777" w:rsidR="00FD4CF2" w:rsidRPr="00FD4CF2" w:rsidRDefault="00FD4CF2" w:rsidP="00FD4CF2">
      <w:pPr>
        <w:spacing w:after="0" w:line="240" w:lineRule="auto"/>
        <w:ind w:right="-1134"/>
        <w:contextualSpacing/>
        <w:jc w:val="both"/>
        <w:textAlignment w:val="baseline"/>
        <w:rPr>
          <w:rFonts w:ascii="Arial" w:eastAsia="Times New Roman" w:hAnsi="Arial" w:cs="Arial"/>
          <w:color w:val="000000"/>
          <w:lang w:eastAsia="en-GB"/>
        </w:rPr>
      </w:pPr>
      <w:r w:rsidRPr="00FD4CF2">
        <w:rPr>
          <w:rFonts w:ascii="Arial" w:eastAsia="Times New Roman" w:hAnsi="Arial" w:cs="Arial"/>
          <w:color w:val="000000"/>
          <w:lang w:eastAsia="en-GB"/>
        </w:rPr>
        <w:t xml:space="preserve">£69,339 of the DSG allocation will continue to contribute towards the Early Help Support Team staff </w:t>
      </w:r>
    </w:p>
    <w:p w14:paraId="4CBF09C7" w14:textId="77777777" w:rsidR="00FD4CF2" w:rsidRPr="00FD4CF2" w:rsidRDefault="00FD4CF2" w:rsidP="00FD4CF2">
      <w:pPr>
        <w:numPr>
          <w:ilvl w:val="1"/>
          <w:numId w:val="38"/>
        </w:numPr>
        <w:spacing w:after="0" w:line="240" w:lineRule="auto"/>
        <w:ind w:right="-1134"/>
        <w:contextualSpacing/>
        <w:jc w:val="both"/>
        <w:textAlignment w:val="baseline"/>
        <w:rPr>
          <w:rFonts w:ascii="Arial" w:eastAsia="Times New Roman" w:hAnsi="Arial" w:cs="Arial"/>
          <w:color w:val="000000"/>
          <w:lang w:eastAsia="en-GB"/>
        </w:rPr>
      </w:pPr>
      <w:r w:rsidRPr="00FD4CF2">
        <w:rPr>
          <w:rFonts w:ascii="Arial" w:eastAsia="Times New Roman" w:hAnsi="Arial" w:cs="Arial"/>
          <w:color w:val="000000"/>
          <w:lang w:eastAsia="en-GB"/>
        </w:rPr>
        <w:t>3 fte grade 3 Admin Staff</w:t>
      </w:r>
    </w:p>
    <w:p w14:paraId="57E6F15B" w14:textId="77777777" w:rsidR="00FD4CF2" w:rsidRPr="00FD4CF2" w:rsidRDefault="00FD4CF2" w:rsidP="00FD4CF2">
      <w:pPr>
        <w:numPr>
          <w:ilvl w:val="1"/>
          <w:numId w:val="38"/>
        </w:numPr>
        <w:spacing w:after="0" w:line="240" w:lineRule="auto"/>
        <w:ind w:right="-1134"/>
        <w:contextualSpacing/>
        <w:jc w:val="both"/>
        <w:textAlignment w:val="baseline"/>
        <w:rPr>
          <w:rFonts w:ascii="Arial" w:eastAsia="Times New Roman" w:hAnsi="Arial" w:cs="Arial"/>
          <w:color w:val="FF0000"/>
          <w:lang w:eastAsia="en-GB"/>
        </w:rPr>
      </w:pPr>
      <w:r w:rsidRPr="00FD4CF2">
        <w:rPr>
          <w:rFonts w:ascii="Arial" w:eastAsia="Times New Roman" w:hAnsi="Arial" w:cs="Arial"/>
          <w:color w:val="000000"/>
          <w:lang w:eastAsia="en-GB"/>
        </w:rPr>
        <w:t>3.77 fte Early Help Support Workers</w:t>
      </w:r>
    </w:p>
    <w:p w14:paraId="51C616A2" w14:textId="77777777" w:rsidR="00FD4CF2" w:rsidRPr="00FD4CF2" w:rsidRDefault="00FD4CF2" w:rsidP="00FD4CF2">
      <w:pPr>
        <w:spacing w:after="0" w:line="240" w:lineRule="auto"/>
        <w:ind w:left="720" w:right="-1134"/>
        <w:contextualSpacing/>
        <w:jc w:val="both"/>
        <w:textAlignment w:val="baseline"/>
        <w:rPr>
          <w:rFonts w:ascii="Arial" w:eastAsia="Times New Roman" w:hAnsi="Arial" w:cs="Arial"/>
          <w:color w:val="FF0000"/>
          <w:lang w:eastAsia="en-GB"/>
        </w:rPr>
      </w:pPr>
    </w:p>
    <w:p w14:paraId="375F383E" w14:textId="77777777" w:rsidR="00FD4CF2" w:rsidRPr="00FD4CF2" w:rsidRDefault="00FD4CF2" w:rsidP="00FD4CF2">
      <w:pPr>
        <w:spacing w:after="0" w:line="240" w:lineRule="auto"/>
        <w:ind w:right="-1134"/>
        <w:contextualSpacing/>
        <w:jc w:val="both"/>
        <w:textAlignment w:val="baseline"/>
        <w:rPr>
          <w:rFonts w:ascii="Arial" w:eastAsia="Times New Roman" w:hAnsi="Arial" w:cs="Arial"/>
          <w:b/>
          <w:lang w:eastAsia="en-GB"/>
        </w:rPr>
      </w:pPr>
      <w:r w:rsidRPr="00FD4CF2">
        <w:rPr>
          <w:rFonts w:ascii="Arial" w:eastAsia="Times New Roman" w:hAnsi="Arial" w:cs="Arial"/>
          <w:b/>
          <w:lang w:eastAsia="en-GB"/>
        </w:rPr>
        <w:t xml:space="preserve">Core Offer </w:t>
      </w:r>
    </w:p>
    <w:p w14:paraId="5AFD71DF" w14:textId="77777777" w:rsidR="00FD4CF2" w:rsidRPr="00FD4CF2" w:rsidRDefault="00FD4CF2" w:rsidP="00FD4CF2">
      <w:pPr>
        <w:spacing w:after="0"/>
        <w:ind w:right="-1134"/>
        <w:jc w:val="both"/>
        <w:rPr>
          <w:rFonts w:ascii="Arial" w:hAnsi="Arial" w:cs="Arial"/>
          <w:sz w:val="16"/>
          <w:szCs w:val="16"/>
        </w:rPr>
      </w:pPr>
    </w:p>
    <w:p w14:paraId="48065F90" w14:textId="77777777" w:rsidR="00FD4CF2" w:rsidRPr="00FD4CF2" w:rsidRDefault="00FD4CF2" w:rsidP="00FD4CF2">
      <w:pPr>
        <w:numPr>
          <w:ilvl w:val="0"/>
          <w:numId w:val="37"/>
        </w:numPr>
        <w:spacing w:after="0"/>
        <w:ind w:right="-1134"/>
        <w:jc w:val="both"/>
        <w:rPr>
          <w:rFonts w:ascii="Arial" w:hAnsi="Arial" w:cs="Arial"/>
        </w:rPr>
      </w:pPr>
      <w:r w:rsidRPr="00FD4CF2">
        <w:rPr>
          <w:rFonts w:ascii="Arial" w:hAnsi="Arial" w:cs="Arial"/>
        </w:rPr>
        <w:t>Duty Support line to all agencies that provides advice and guidance to all agencies. This includes pathways, support and advice when to make referrals into CASS &amp; signposting.</w:t>
      </w:r>
    </w:p>
    <w:p w14:paraId="378CF234" w14:textId="77777777" w:rsidR="00FD4CF2" w:rsidRPr="00FD4CF2" w:rsidRDefault="00FD4CF2" w:rsidP="00FD4CF2">
      <w:pPr>
        <w:numPr>
          <w:ilvl w:val="0"/>
          <w:numId w:val="37"/>
        </w:numPr>
        <w:spacing w:after="0"/>
        <w:ind w:right="-1134"/>
        <w:jc w:val="both"/>
        <w:rPr>
          <w:rFonts w:ascii="Arial" w:hAnsi="Arial" w:cs="Arial"/>
        </w:rPr>
      </w:pPr>
      <w:r w:rsidRPr="00FD4CF2">
        <w:rPr>
          <w:rFonts w:ascii="Arial" w:hAnsi="Arial" w:cs="Arial"/>
        </w:rPr>
        <w:t xml:space="preserve">Follow up support for agencies requiring support for initiating Early Help Assessments. </w:t>
      </w:r>
    </w:p>
    <w:p w14:paraId="35347508" w14:textId="77777777" w:rsidR="00FD4CF2" w:rsidRPr="00FD4CF2" w:rsidRDefault="00FD4CF2" w:rsidP="00FD4CF2">
      <w:pPr>
        <w:numPr>
          <w:ilvl w:val="0"/>
          <w:numId w:val="37"/>
        </w:numPr>
        <w:spacing w:after="0"/>
        <w:ind w:right="-1134"/>
        <w:jc w:val="both"/>
        <w:rPr>
          <w:rFonts w:ascii="Arial" w:hAnsi="Arial" w:cs="Arial"/>
        </w:rPr>
      </w:pPr>
      <w:r w:rsidRPr="00FD4CF2">
        <w:rPr>
          <w:rFonts w:ascii="Arial" w:hAnsi="Arial" w:cs="Arial"/>
        </w:rPr>
        <w:t>Advice and guidance to partners sitting within the CASS around thresholds and the early help offer</w:t>
      </w:r>
    </w:p>
    <w:p w14:paraId="387A79F7" w14:textId="77777777" w:rsidR="00FD4CF2" w:rsidRPr="00FD4CF2" w:rsidRDefault="00FD4CF2" w:rsidP="00FD4CF2">
      <w:pPr>
        <w:numPr>
          <w:ilvl w:val="0"/>
          <w:numId w:val="37"/>
        </w:numPr>
        <w:spacing w:after="0"/>
        <w:ind w:right="-1134"/>
        <w:jc w:val="both"/>
        <w:rPr>
          <w:rFonts w:ascii="Arial" w:hAnsi="Arial" w:cs="Arial"/>
        </w:rPr>
      </w:pPr>
      <w:r w:rsidRPr="00FD4CF2">
        <w:rPr>
          <w:rFonts w:ascii="Arial" w:hAnsi="Arial" w:cs="Arial"/>
        </w:rPr>
        <w:t xml:space="preserve">Registration of all Early Help Assessments and our Family Plans to one central point for data analysis and reporting. Feedback on quality assurance &amp; next steps. Co delivery of training to partners regarding Early Help and Early Help Assessments. </w:t>
      </w:r>
    </w:p>
    <w:p w14:paraId="4DA5CC33" w14:textId="77777777" w:rsidR="00FD4CF2" w:rsidRPr="00FD4CF2" w:rsidRDefault="00FD4CF2" w:rsidP="00FD4CF2">
      <w:pPr>
        <w:numPr>
          <w:ilvl w:val="0"/>
          <w:numId w:val="37"/>
        </w:numPr>
        <w:spacing w:after="0"/>
        <w:ind w:right="-1134"/>
        <w:jc w:val="both"/>
        <w:rPr>
          <w:rFonts w:ascii="Arial" w:hAnsi="Arial" w:cs="Arial"/>
        </w:rPr>
      </w:pPr>
      <w:r w:rsidRPr="00FD4CF2">
        <w:rPr>
          <w:rFonts w:ascii="Arial" w:hAnsi="Arial" w:cs="Arial"/>
        </w:rPr>
        <w:t>Case auditing and quality assurance of assessments and plans to support the improvement in practice and support to families</w:t>
      </w:r>
    </w:p>
    <w:p w14:paraId="6C97A7B4" w14:textId="77777777" w:rsidR="00FD4CF2" w:rsidRPr="00FD4CF2" w:rsidRDefault="00FD4CF2" w:rsidP="00FD4CF2">
      <w:pPr>
        <w:numPr>
          <w:ilvl w:val="0"/>
          <w:numId w:val="37"/>
        </w:numPr>
        <w:spacing w:after="0"/>
        <w:ind w:right="-1134"/>
        <w:jc w:val="both"/>
        <w:rPr>
          <w:rFonts w:ascii="Arial" w:hAnsi="Arial" w:cs="Arial"/>
        </w:rPr>
      </w:pPr>
      <w:r w:rsidRPr="00FD4CF2">
        <w:rPr>
          <w:rFonts w:ascii="Arial" w:hAnsi="Arial" w:cs="Arial"/>
        </w:rPr>
        <w:t>Supporting the allocation of cases utilising Right Help Right Time to ensure families receive the appropriate support, including Family Support, Think Family Intensive Provision and Early Help.</w:t>
      </w:r>
    </w:p>
    <w:p w14:paraId="110982CE" w14:textId="77777777" w:rsidR="00FD4CF2" w:rsidRPr="00FD4CF2" w:rsidRDefault="00FD4CF2" w:rsidP="00FD4CF2">
      <w:pPr>
        <w:numPr>
          <w:ilvl w:val="0"/>
          <w:numId w:val="37"/>
        </w:numPr>
        <w:spacing w:after="0"/>
        <w:ind w:right="-1134"/>
        <w:jc w:val="both"/>
        <w:rPr>
          <w:rFonts w:ascii="Arial" w:hAnsi="Arial" w:cs="Arial"/>
        </w:rPr>
      </w:pPr>
      <w:r w:rsidRPr="00FD4CF2">
        <w:rPr>
          <w:rFonts w:ascii="Arial" w:hAnsi="Arial" w:cs="Arial"/>
        </w:rPr>
        <w:t xml:space="preserve">CASS development regarding process, improving practice, developing partnership working. Workshops/ meetings with CASS partners </w:t>
      </w:r>
    </w:p>
    <w:p w14:paraId="34EBC738" w14:textId="77777777" w:rsidR="00FD4CF2" w:rsidRPr="00FD4CF2" w:rsidRDefault="00FD4CF2" w:rsidP="00FD4CF2">
      <w:pPr>
        <w:spacing w:after="0"/>
        <w:ind w:right="-1134"/>
        <w:jc w:val="both"/>
        <w:rPr>
          <w:rFonts w:ascii="Arial" w:hAnsi="Arial" w:cs="Arial"/>
          <w:sz w:val="16"/>
          <w:szCs w:val="16"/>
        </w:rPr>
      </w:pPr>
    </w:p>
    <w:p w14:paraId="54467387" w14:textId="77777777" w:rsidR="00FD4CF2" w:rsidRPr="00FD4CF2" w:rsidRDefault="00FD4CF2" w:rsidP="00FD4CF2">
      <w:pPr>
        <w:spacing w:after="0"/>
        <w:ind w:right="-1134"/>
        <w:jc w:val="both"/>
        <w:rPr>
          <w:rFonts w:ascii="Arial" w:hAnsi="Arial" w:cs="Arial"/>
          <w:sz w:val="16"/>
          <w:szCs w:val="16"/>
        </w:rPr>
      </w:pPr>
    </w:p>
    <w:p w14:paraId="2DCAE71F" w14:textId="77777777" w:rsidR="00FD4CF2" w:rsidRPr="00FD4CF2" w:rsidRDefault="00FD4CF2" w:rsidP="00FD4CF2">
      <w:pPr>
        <w:spacing w:after="0"/>
        <w:ind w:right="-1134"/>
        <w:jc w:val="both"/>
        <w:rPr>
          <w:rFonts w:ascii="Arial" w:hAnsi="Arial" w:cs="Arial"/>
          <w:sz w:val="16"/>
          <w:szCs w:val="16"/>
        </w:rPr>
      </w:pPr>
    </w:p>
    <w:p w14:paraId="5C116B60" w14:textId="77777777" w:rsidR="00FD4CF2" w:rsidRPr="00FD4CF2" w:rsidRDefault="00FD4CF2" w:rsidP="00FD4CF2">
      <w:pPr>
        <w:spacing w:after="0"/>
        <w:ind w:right="-1134"/>
        <w:jc w:val="both"/>
        <w:rPr>
          <w:rFonts w:ascii="Arial" w:hAnsi="Arial" w:cs="Arial"/>
          <w:b/>
        </w:rPr>
      </w:pPr>
      <w:r w:rsidRPr="00FD4CF2">
        <w:rPr>
          <w:rFonts w:ascii="Arial" w:hAnsi="Arial" w:cs="Arial"/>
          <w:b/>
        </w:rPr>
        <w:t xml:space="preserve">Continued DSG funding will enable development of the CASS MASH partnership and continuation direct support to schools engaging with partnership working. </w:t>
      </w:r>
    </w:p>
    <w:p w14:paraId="235116EC" w14:textId="77777777" w:rsidR="00FD4CF2" w:rsidRPr="00FD4CF2" w:rsidRDefault="00FD4CF2" w:rsidP="00FD4CF2">
      <w:pPr>
        <w:spacing w:after="0" w:line="240" w:lineRule="auto"/>
        <w:contextualSpacing/>
        <w:rPr>
          <w:rFonts w:ascii="Arial" w:eastAsia="Times New Roman" w:hAnsi="Arial" w:cs="Arial"/>
          <w:sz w:val="16"/>
          <w:szCs w:val="16"/>
          <w:lang w:eastAsia="en-GB"/>
        </w:rPr>
      </w:pPr>
    </w:p>
    <w:p w14:paraId="78E9156D" w14:textId="77777777" w:rsidR="00FD4CF2" w:rsidRPr="00FD4CF2" w:rsidRDefault="00FD4CF2" w:rsidP="00FD4CF2">
      <w:pPr>
        <w:spacing w:after="0" w:line="240" w:lineRule="auto"/>
        <w:contextualSpacing/>
        <w:rPr>
          <w:rFonts w:ascii="Arial" w:eastAsia="Times New Roman" w:hAnsi="Arial" w:cs="Arial"/>
          <w:sz w:val="16"/>
          <w:szCs w:val="16"/>
          <w:lang w:eastAsia="en-GB"/>
        </w:rPr>
      </w:pPr>
    </w:p>
    <w:p w14:paraId="20E7F18F" w14:textId="77777777" w:rsidR="00FD4CF2" w:rsidRPr="00FD4CF2" w:rsidRDefault="00FD4CF2" w:rsidP="00FD4CF2">
      <w:pPr>
        <w:spacing w:after="0" w:line="240" w:lineRule="auto"/>
        <w:contextualSpacing/>
        <w:rPr>
          <w:rFonts w:ascii="Arial" w:eastAsia="Times New Roman" w:hAnsi="Arial" w:cs="Arial"/>
          <w:sz w:val="16"/>
          <w:szCs w:val="16"/>
          <w:lang w:eastAsia="en-GB"/>
        </w:rPr>
      </w:pPr>
    </w:p>
    <w:p w14:paraId="7D2AB145" w14:textId="77777777" w:rsidR="00FD4CF2" w:rsidRPr="00FD4CF2" w:rsidRDefault="00FD4CF2" w:rsidP="00FD4CF2">
      <w:pPr>
        <w:spacing w:after="0" w:line="240" w:lineRule="auto"/>
        <w:contextualSpacing/>
        <w:jc w:val="both"/>
        <w:rPr>
          <w:rFonts w:ascii="Arial" w:eastAsia="Times New Roman" w:hAnsi="Arial" w:cs="Arial"/>
          <w:lang w:eastAsia="en-GB"/>
        </w:rPr>
      </w:pPr>
    </w:p>
    <w:p w14:paraId="69DF985A" w14:textId="77777777" w:rsidR="00FD4CF2" w:rsidRPr="00F006E0" w:rsidRDefault="00FD4CF2" w:rsidP="00C87173">
      <w:pPr>
        <w:spacing w:after="0" w:line="240" w:lineRule="auto"/>
        <w:contextualSpacing/>
        <w:rPr>
          <w:rFonts w:ascii="Arial" w:eastAsia="Times New Roman" w:hAnsi="Arial" w:cs="Arial"/>
          <w:b/>
          <w:sz w:val="32"/>
          <w:szCs w:val="32"/>
          <w:lang w:eastAsia="en-GB"/>
        </w:rPr>
      </w:pPr>
    </w:p>
    <w:sectPr w:rsidR="00FD4CF2" w:rsidRPr="00F006E0" w:rsidSect="00D163C6">
      <w:pgSz w:w="11906" w:h="16838"/>
      <w:pgMar w:top="1079" w:right="2408"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42924" w14:textId="77777777" w:rsidR="005B1DE4" w:rsidRDefault="005B1DE4" w:rsidP="00714D13">
      <w:r>
        <w:separator/>
      </w:r>
    </w:p>
  </w:endnote>
  <w:endnote w:type="continuationSeparator" w:id="0">
    <w:p w14:paraId="6E76A61E" w14:textId="77777777" w:rsidR="005B1DE4" w:rsidRDefault="005B1DE4" w:rsidP="00714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F78C0" w14:textId="77777777" w:rsidR="00B93682" w:rsidRDefault="00B93682" w:rsidP="005E625F">
    <w:pPr>
      <w:pStyle w:val="Footer"/>
      <w:jc w:val="center"/>
    </w:pPr>
    <w:r>
      <w:t xml:space="preserve">Page </w:t>
    </w:r>
    <w:r>
      <w:fldChar w:fldCharType="begin"/>
    </w:r>
    <w:r>
      <w:instrText xml:space="preserve"> PAGE </w:instrText>
    </w:r>
    <w:r>
      <w:fldChar w:fldCharType="separate"/>
    </w:r>
    <w:r w:rsidR="00B7749A">
      <w:rPr>
        <w:noProof/>
      </w:rPr>
      <w:t>1</w:t>
    </w:r>
    <w:r>
      <w:fldChar w:fldCharType="end"/>
    </w:r>
    <w:r>
      <w:t xml:space="preserve"> of </w:t>
    </w:r>
    <w:r w:rsidR="001A3655">
      <w:fldChar w:fldCharType="begin"/>
    </w:r>
    <w:r w:rsidR="001A3655">
      <w:instrText xml:space="preserve"> NUMPAGES </w:instrText>
    </w:r>
    <w:r w:rsidR="001A3655">
      <w:fldChar w:fldCharType="separate"/>
    </w:r>
    <w:r w:rsidR="00B7749A">
      <w:rPr>
        <w:noProof/>
      </w:rPr>
      <w:t>10</w:t>
    </w:r>
    <w:r w:rsidR="001A365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FB93A4" w14:textId="77777777" w:rsidR="005B1DE4" w:rsidRDefault="005B1DE4" w:rsidP="00714D13">
      <w:r>
        <w:separator/>
      </w:r>
    </w:p>
  </w:footnote>
  <w:footnote w:type="continuationSeparator" w:id="0">
    <w:p w14:paraId="3AE73A05" w14:textId="77777777" w:rsidR="005B1DE4" w:rsidRDefault="005B1DE4" w:rsidP="00714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13246" w14:textId="77777777" w:rsidR="003266DB" w:rsidRDefault="001A3655">
    <w:pPr>
      <w:pStyle w:val="Header"/>
    </w:pPr>
    <w:r>
      <w:rPr>
        <w:noProof/>
        <w:lang w:val="en-US" w:eastAsia="zh-TW"/>
      </w:rPr>
      <w:pict w14:anchorId="2096EF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738E9"/>
    <w:multiLevelType w:val="hybridMultilevel"/>
    <w:tmpl w:val="EAFC6F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1391335"/>
    <w:multiLevelType w:val="hybridMultilevel"/>
    <w:tmpl w:val="C6006E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D250BC"/>
    <w:multiLevelType w:val="multilevel"/>
    <w:tmpl w:val="07DE2992"/>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BE4F07"/>
    <w:multiLevelType w:val="multilevel"/>
    <w:tmpl w:val="0E60D160"/>
    <w:lvl w:ilvl="0">
      <w:start w:val="3"/>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5318C9"/>
    <w:multiLevelType w:val="multilevel"/>
    <w:tmpl w:val="02BC582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CF40D6B"/>
    <w:multiLevelType w:val="hybridMultilevel"/>
    <w:tmpl w:val="206C2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090D15"/>
    <w:multiLevelType w:val="hybridMultilevel"/>
    <w:tmpl w:val="2644807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1790127B"/>
    <w:multiLevelType w:val="hybridMultilevel"/>
    <w:tmpl w:val="3F783D36"/>
    <w:lvl w:ilvl="0" w:tplc="12689818">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8" w15:restartNumberingAfterBreak="0">
    <w:nsid w:val="193F2F4A"/>
    <w:multiLevelType w:val="hybridMultilevel"/>
    <w:tmpl w:val="AF4686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3D56ACF"/>
    <w:multiLevelType w:val="hybridMultilevel"/>
    <w:tmpl w:val="C60E9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EF7934"/>
    <w:multiLevelType w:val="hybridMultilevel"/>
    <w:tmpl w:val="0D92078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26ED1B22"/>
    <w:multiLevelType w:val="hybridMultilevel"/>
    <w:tmpl w:val="53344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9517CF"/>
    <w:multiLevelType w:val="hybridMultilevel"/>
    <w:tmpl w:val="67B02966"/>
    <w:lvl w:ilvl="0" w:tplc="E02224A6">
      <w:start w:val="3"/>
      <w:numFmt w:val="decimal"/>
      <w:lvlText w:val="%1)"/>
      <w:lvlJc w:val="left"/>
      <w:pPr>
        <w:ind w:left="107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8D36211"/>
    <w:multiLevelType w:val="hybridMultilevel"/>
    <w:tmpl w:val="9AAEA6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063701"/>
    <w:multiLevelType w:val="hybridMultilevel"/>
    <w:tmpl w:val="EA7EA7FA"/>
    <w:lvl w:ilvl="0" w:tplc="0809000F">
      <w:start w:val="1"/>
      <w:numFmt w:val="decimal"/>
      <w:lvlText w:val="%1."/>
      <w:lvlJc w:val="left"/>
      <w:pPr>
        <w:ind w:left="897" w:hanging="360"/>
      </w:pPr>
    </w:lvl>
    <w:lvl w:ilvl="1" w:tplc="08090019" w:tentative="1">
      <w:start w:val="1"/>
      <w:numFmt w:val="lowerLetter"/>
      <w:lvlText w:val="%2."/>
      <w:lvlJc w:val="left"/>
      <w:pPr>
        <w:ind w:left="1617" w:hanging="360"/>
      </w:pPr>
    </w:lvl>
    <w:lvl w:ilvl="2" w:tplc="0809001B" w:tentative="1">
      <w:start w:val="1"/>
      <w:numFmt w:val="lowerRoman"/>
      <w:lvlText w:val="%3."/>
      <w:lvlJc w:val="right"/>
      <w:pPr>
        <w:ind w:left="2337" w:hanging="180"/>
      </w:pPr>
    </w:lvl>
    <w:lvl w:ilvl="3" w:tplc="0809000F" w:tentative="1">
      <w:start w:val="1"/>
      <w:numFmt w:val="decimal"/>
      <w:lvlText w:val="%4."/>
      <w:lvlJc w:val="left"/>
      <w:pPr>
        <w:ind w:left="3057" w:hanging="360"/>
      </w:pPr>
    </w:lvl>
    <w:lvl w:ilvl="4" w:tplc="08090019" w:tentative="1">
      <w:start w:val="1"/>
      <w:numFmt w:val="lowerLetter"/>
      <w:lvlText w:val="%5."/>
      <w:lvlJc w:val="left"/>
      <w:pPr>
        <w:ind w:left="3777" w:hanging="360"/>
      </w:pPr>
    </w:lvl>
    <w:lvl w:ilvl="5" w:tplc="0809001B" w:tentative="1">
      <w:start w:val="1"/>
      <w:numFmt w:val="lowerRoman"/>
      <w:lvlText w:val="%6."/>
      <w:lvlJc w:val="right"/>
      <w:pPr>
        <w:ind w:left="4497" w:hanging="180"/>
      </w:pPr>
    </w:lvl>
    <w:lvl w:ilvl="6" w:tplc="0809000F" w:tentative="1">
      <w:start w:val="1"/>
      <w:numFmt w:val="decimal"/>
      <w:lvlText w:val="%7."/>
      <w:lvlJc w:val="left"/>
      <w:pPr>
        <w:ind w:left="5217" w:hanging="360"/>
      </w:pPr>
    </w:lvl>
    <w:lvl w:ilvl="7" w:tplc="08090019" w:tentative="1">
      <w:start w:val="1"/>
      <w:numFmt w:val="lowerLetter"/>
      <w:lvlText w:val="%8."/>
      <w:lvlJc w:val="left"/>
      <w:pPr>
        <w:ind w:left="5937" w:hanging="360"/>
      </w:pPr>
    </w:lvl>
    <w:lvl w:ilvl="8" w:tplc="0809001B" w:tentative="1">
      <w:start w:val="1"/>
      <w:numFmt w:val="lowerRoman"/>
      <w:lvlText w:val="%9."/>
      <w:lvlJc w:val="right"/>
      <w:pPr>
        <w:ind w:left="6657" w:hanging="180"/>
      </w:pPr>
    </w:lvl>
  </w:abstractNum>
  <w:abstractNum w:abstractNumId="15" w15:restartNumberingAfterBreak="0">
    <w:nsid w:val="31107497"/>
    <w:multiLevelType w:val="hybridMultilevel"/>
    <w:tmpl w:val="094883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267583B"/>
    <w:multiLevelType w:val="hybridMultilevel"/>
    <w:tmpl w:val="38EE7240"/>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7" w15:restartNumberingAfterBreak="0">
    <w:nsid w:val="32CA28A8"/>
    <w:multiLevelType w:val="hybridMultilevel"/>
    <w:tmpl w:val="E1F2B674"/>
    <w:lvl w:ilvl="0" w:tplc="FD8C72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916F1E"/>
    <w:multiLevelType w:val="hybridMultilevel"/>
    <w:tmpl w:val="62527B8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 w15:restartNumberingAfterBreak="0">
    <w:nsid w:val="34642C60"/>
    <w:multiLevelType w:val="hybridMultilevel"/>
    <w:tmpl w:val="65ACEA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D34B65"/>
    <w:multiLevelType w:val="hybridMultilevel"/>
    <w:tmpl w:val="716CA0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FE5015D"/>
    <w:multiLevelType w:val="hybridMultilevel"/>
    <w:tmpl w:val="2712491E"/>
    <w:lvl w:ilvl="0" w:tplc="08090001">
      <w:start w:val="1"/>
      <w:numFmt w:val="bullet"/>
      <w:lvlText w:val=""/>
      <w:lvlJc w:val="left"/>
      <w:pPr>
        <w:ind w:left="360" w:hanging="360"/>
      </w:pPr>
      <w:rPr>
        <w:rFonts w:ascii="Symbol" w:hAnsi="Symbol" w:hint="default"/>
      </w:rPr>
    </w:lvl>
    <w:lvl w:ilvl="1" w:tplc="8B223500">
      <w:start w:val="1"/>
      <w:numFmt w:val="bullet"/>
      <w:lvlText w:val=""/>
      <w:lvlJc w:val="left"/>
      <w:pPr>
        <w:ind w:left="1080" w:hanging="360"/>
      </w:pPr>
      <w:rPr>
        <w:rFonts w:ascii="Symbol" w:hAnsi="Symbol"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01E0516"/>
    <w:multiLevelType w:val="hybridMultilevel"/>
    <w:tmpl w:val="A30EE0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06F1608"/>
    <w:multiLevelType w:val="hybridMultilevel"/>
    <w:tmpl w:val="203E36A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3100485"/>
    <w:multiLevelType w:val="hybridMultilevel"/>
    <w:tmpl w:val="8A0C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141FAD"/>
    <w:multiLevelType w:val="hybridMultilevel"/>
    <w:tmpl w:val="D0C82850"/>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72ECD0A">
      <w:start w:val="1"/>
      <w:numFmt w:val="bullet"/>
      <w:lvlText w:val="-"/>
      <w:lvlJc w:val="left"/>
      <w:pPr>
        <w:ind w:left="2340" w:hanging="360"/>
      </w:pPr>
      <w:rPr>
        <w:rFonts w:ascii="Arial" w:eastAsia="Times New Roman" w:hAnsi="Arial"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B529C0"/>
    <w:multiLevelType w:val="hybridMultilevel"/>
    <w:tmpl w:val="DA7A2A04"/>
    <w:lvl w:ilvl="0" w:tplc="BBBED8EC">
      <w:start w:val="1"/>
      <w:numFmt w:val="bullet"/>
      <w:pStyle w:val="Dept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Marlett" w:hAnsi="Marlett"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Marlett" w:hAnsi="Marlett"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Marlett" w:hAnsi="Marlett" w:hint="default"/>
      </w:rPr>
    </w:lvl>
  </w:abstractNum>
  <w:abstractNum w:abstractNumId="27" w15:restartNumberingAfterBreak="0">
    <w:nsid w:val="47F5581C"/>
    <w:multiLevelType w:val="hybridMultilevel"/>
    <w:tmpl w:val="1E784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3D3C12"/>
    <w:multiLevelType w:val="hybridMultilevel"/>
    <w:tmpl w:val="E912E062"/>
    <w:lvl w:ilvl="0" w:tplc="4B6A91B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4BBE08C1"/>
    <w:multiLevelType w:val="multilevel"/>
    <w:tmpl w:val="FE328B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54200C6"/>
    <w:multiLevelType w:val="hybridMultilevel"/>
    <w:tmpl w:val="BB68F9EA"/>
    <w:lvl w:ilvl="0" w:tplc="08090001">
      <w:start w:val="1"/>
      <w:numFmt w:val="bullet"/>
      <w:lvlText w:val=""/>
      <w:lvlJc w:val="left"/>
      <w:pPr>
        <w:ind w:left="2140" w:hanging="360"/>
      </w:pPr>
      <w:rPr>
        <w:rFonts w:ascii="Symbol" w:hAnsi="Symbol" w:hint="default"/>
      </w:rPr>
    </w:lvl>
    <w:lvl w:ilvl="1" w:tplc="08090003" w:tentative="1">
      <w:start w:val="1"/>
      <w:numFmt w:val="bullet"/>
      <w:lvlText w:val="o"/>
      <w:lvlJc w:val="left"/>
      <w:pPr>
        <w:ind w:left="2860" w:hanging="360"/>
      </w:pPr>
      <w:rPr>
        <w:rFonts w:ascii="Courier New" w:hAnsi="Courier New" w:cs="Courier New" w:hint="default"/>
      </w:rPr>
    </w:lvl>
    <w:lvl w:ilvl="2" w:tplc="08090005" w:tentative="1">
      <w:start w:val="1"/>
      <w:numFmt w:val="bullet"/>
      <w:lvlText w:val=""/>
      <w:lvlJc w:val="left"/>
      <w:pPr>
        <w:ind w:left="3580" w:hanging="360"/>
      </w:pPr>
      <w:rPr>
        <w:rFonts w:ascii="Wingdings" w:hAnsi="Wingdings" w:hint="default"/>
      </w:rPr>
    </w:lvl>
    <w:lvl w:ilvl="3" w:tplc="08090001" w:tentative="1">
      <w:start w:val="1"/>
      <w:numFmt w:val="bullet"/>
      <w:lvlText w:val=""/>
      <w:lvlJc w:val="left"/>
      <w:pPr>
        <w:ind w:left="4300" w:hanging="360"/>
      </w:pPr>
      <w:rPr>
        <w:rFonts w:ascii="Symbol" w:hAnsi="Symbol" w:hint="default"/>
      </w:rPr>
    </w:lvl>
    <w:lvl w:ilvl="4" w:tplc="08090003" w:tentative="1">
      <w:start w:val="1"/>
      <w:numFmt w:val="bullet"/>
      <w:lvlText w:val="o"/>
      <w:lvlJc w:val="left"/>
      <w:pPr>
        <w:ind w:left="5020" w:hanging="360"/>
      </w:pPr>
      <w:rPr>
        <w:rFonts w:ascii="Courier New" w:hAnsi="Courier New" w:cs="Courier New" w:hint="default"/>
      </w:rPr>
    </w:lvl>
    <w:lvl w:ilvl="5" w:tplc="08090005" w:tentative="1">
      <w:start w:val="1"/>
      <w:numFmt w:val="bullet"/>
      <w:lvlText w:val=""/>
      <w:lvlJc w:val="left"/>
      <w:pPr>
        <w:ind w:left="5740" w:hanging="360"/>
      </w:pPr>
      <w:rPr>
        <w:rFonts w:ascii="Wingdings" w:hAnsi="Wingdings" w:hint="default"/>
      </w:rPr>
    </w:lvl>
    <w:lvl w:ilvl="6" w:tplc="08090001" w:tentative="1">
      <w:start w:val="1"/>
      <w:numFmt w:val="bullet"/>
      <w:lvlText w:val=""/>
      <w:lvlJc w:val="left"/>
      <w:pPr>
        <w:ind w:left="6460" w:hanging="360"/>
      </w:pPr>
      <w:rPr>
        <w:rFonts w:ascii="Symbol" w:hAnsi="Symbol" w:hint="default"/>
      </w:rPr>
    </w:lvl>
    <w:lvl w:ilvl="7" w:tplc="08090003" w:tentative="1">
      <w:start w:val="1"/>
      <w:numFmt w:val="bullet"/>
      <w:lvlText w:val="o"/>
      <w:lvlJc w:val="left"/>
      <w:pPr>
        <w:ind w:left="7180" w:hanging="360"/>
      </w:pPr>
      <w:rPr>
        <w:rFonts w:ascii="Courier New" w:hAnsi="Courier New" w:cs="Courier New" w:hint="default"/>
      </w:rPr>
    </w:lvl>
    <w:lvl w:ilvl="8" w:tplc="08090005" w:tentative="1">
      <w:start w:val="1"/>
      <w:numFmt w:val="bullet"/>
      <w:lvlText w:val=""/>
      <w:lvlJc w:val="left"/>
      <w:pPr>
        <w:ind w:left="7900" w:hanging="360"/>
      </w:pPr>
      <w:rPr>
        <w:rFonts w:ascii="Wingdings" w:hAnsi="Wingdings" w:hint="default"/>
      </w:rPr>
    </w:lvl>
  </w:abstractNum>
  <w:abstractNum w:abstractNumId="31" w15:restartNumberingAfterBreak="0">
    <w:nsid w:val="56AA73CD"/>
    <w:multiLevelType w:val="hybridMultilevel"/>
    <w:tmpl w:val="22D6C4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9666310"/>
    <w:multiLevelType w:val="hybridMultilevel"/>
    <w:tmpl w:val="65ACEA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9E91B55"/>
    <w:multiLevelType w:val="hybridMultilevel"/>
    <w:tmpl w:val="65ACEA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9F37E12"/>
    <w:multiLevelType w:val="hybridMultilevel"/>
    <w:tmpl w:val="B69E3D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1A08F8"/>
    <w:multiLevelType w:val="hybridMultilevel"/>
    <w:tmpl w:val="A55EB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F975AC"/>
    <w:multiLevelType w:val="hybridMultilevel"/>
    <w:tmpl w:val="65ACEA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1F40D5E"/>
    <w:multiLevelType w:val="hybridMultilevel"/>
    <w:tmpl w:val="2582559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6435671"/>
    <w:multiLevelType w:val="hybridMultilevel"/>
    <w:tmpl w:val="DB3641F2"/>
    <w:lvl w:ilvl="0" w:tplc="4B4AAC5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91D577D"/>
    <w:multiLevelType w:val="hybridMultilevel"/>
    <w:tmpl w:val="65ACEA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7030C96"/>
    <w:multiLevelType w:val="hybridMultilevel"/>
    <w:tmpl w:val="450C2A0E"/>
    <w:lvl w:ilvl="0" w:tplc="9E04931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777D3C56"/>
    <w:multiLevelType w:val="hybridMultilevel"/>
    <w:tmpl w:val="022EE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123BD8"/>
    <w:multiLevelType w:val="hybridMultilevel"/>
    <w:tmpl w:val="647670B4"/>
    <w:lvl w:ilvl="0" w:tplc="4ACE22E8">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C3E24DD"/>
    <w:multiLevelType w:val="hybridMultilevel"/>
    <w:tmpl w:val="CB0AB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40"/>
  </w:num>
  <w:num w:numId="3">
    <w:abstractNumId w:val="28"/>
  </w:num>
  <w:num w:numId="4">
    <w:abstractNumId w:val="1"/>
  </w:num>
  <w:num w:numId="5">
    <w:abstractNumId w:val="3"/>
  </w:num>
  <w:num w:numId="6">
    <w:abstractNumId w:val="38"/>
  </w:num>
  <w:num w:numId="7">
    <w:abstractNumId w:val="12"/>
  </w:num>
  <w:num w:numId="8">
    <w:abstractNumId w:val="2"/>
  </w:num>
  <w:num w:numId="9">
    <w:abstractNumId w:val="32"/>
  </w:num>
  <w:num w:numId="10">
    <w:abstractNumId w:val="17"/>
  </w:num>
  <w:num w:numId="11">
    <w:abstractNumId w:val="31"/>
  </w:num>
  <w:num w:numId="12">
    <w:abstractNumId w:val="5"/>
  </w:num>
  <w:num w:numId="13">
    <w:abstractNumId w:val="36"/>
  </w:num>
  <w:num w:numId="14">
    <w:abstractNumId w:val="19"/>
  </w:num>
  <w:num w:numId="15">
    <w:abstractNumId w:val="6"/>
  </w:num>
  <w:num w:numId="16">
    <w:abstractNumId w:val="33"/>
  </w:num>
  <w:num w:numId="17">
    <w:abstractNumId w:val="39"/>
  </w:num>
  <w:num w:numId="18">
    <w:abstractNumId w:val="11"/>
  </w:num>
  <w:num w:numId="19">
    <w:abstractNumId w:val="23"/>
  </w:num>
  <w:num w:numId="20">
    <w:abstractNumId w:val="41"/>
  </w:num>
  <w:num w:numId="21">
    <w:abstractNumId w:val="13"/>
  </w:num>
  <w:num w:numId="22">
    <w:abstractNumId w:val="8"/>
  </w:num>
  <w:num w:numId="23">
    <w:abstractNumId w:val="15"/>
  </w:num>
  <w:num w:numId="24">
    <w:abstractNumId w:val="26"/>
  </w:num>
  <w:num w:numId="25">
    <w:abstractNumId w:val="30"/>
  </w:num>
  <w:num w:numId="26">
    <w:abstractNumId w:val="0"/>
  </w:num>
  <w:num w:numId="27">
    <w:abstractNumId w:val="20"/>
  </w:num>
  <w:num w:numId="28">
    <w:abstractNumId w:val="22"/>
  </w:num>
  <w:num w:numId="29">
    <w:abstractNumId w:val="37"/>
  </w:num>
  <w:num w:numId="30">
    <w:abstractNumId w:val="18"/>
  </w:num>
  <w:num w:numId="31">
    <w:abstractNumId w:val="9"/>
  </w:num>
  <w:num w:numId="32">
    <w:abstractNumId w:val="43"/>
  </w:num>
  <w:num w:numId="33">
    <w:abstractNumId w:val="42"/>
  </w:num>
  <w:num w:numId="34">
    <w:abstractNumId w:val="16"/>
  </w:num>
  <w:num w:numId="35">
    <w:abstractNumId w:val="10"/>
  </w:num>
  <w:num w:numId="36">
    <w:abstractNumId w:val="25"/>
  </w:num>
  <w:num w:numId="37">
    <w:abstractNumId w:val="35"/>
  </w:num>
  <w:num w:numId="38">
    <w:abstractNumId w:val="21"/>
  </w:num>
  <w:num w:numId="39">
    <w:abstractNumId w:val="24"/>
  </w:num>
  <w:num w:numId="40">
    <w:abstractNumId w:val="7"/>
  </w:num>
  <w:num w:numId="41">
    <w:abstractNumId w:val="34"/>
  </w:num>
  <w:num w:numId="42">
    <w:abstractNumId w:val="29"/>
  </w:num>
  <w:num w:numId="43">
    <w:abstractNumId w:val="27"/>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Gj4HcLz8Jw+0ABmQFfs/LYpbL8FPs9bw8sYDtGQi9Gr3a89M50/XBgmwdI6WKRS4"/>
  </w:docVars>
  <w:rsids>
    <w:rsidRoot w:val="008544CD"/>
    <w:rsid w:val="00025A86"/>
    <w:rsid w:val="00025D18"/>
    <w:rsid w:val="00041ADC"/>
    <w:rsid w:val="00051619"/>
    <w:rsid w:val="00057C6A"/>
    <w:rsid w:val="000609B1"/>
    <w:rsid w:val="00064120"/>
    <w:rsid w:val="000C5B69"/>
    <w:rsid w:val="000D17D0"/>
    <w:rsid w:val="000D392E"/>
    <w:rsid w:val="000D39E2"/>
    <w:rsid w:val="000E58AC"/>
    <w:rsid w:val="000F301E"/>
    <w:rsid w:val="001003B8"/>
    <w:rsid w:val="00112C51"/>
    <w:rsid w:val="00125521"/>
    <w:rsid w:val="00127447"/>
    <w:rsid w:val="0016718B"/>
    <w:rsid w:val="001725DE"/>
    <w:rsid w:val="001729E3"/>
    <w:rsid w:val="001768C6"/>
    <w:rsid w:val="00193FEA"/>
    <w:rsid w:val="001A3655"/>
    <w:rsid w:val="001B1322"/>
    <w:rsid w:val="001C170B"/>
    <w:rsid w:val="001C3A3F"/>
    <w:rsid w:val="001C4B5D"/>
    <w:rsid w:val="001E623B"/>
    <w:rsid w:val="0021662C"/>
    <w:rsid w:val="002174F2"/>
    <w:rsid w:val="00223B04"/>
    <w:rsid w:val="00224247"/>
    <w:rsid w:val="00243C70"/>
    <w:rsid w:val="00247F5B"/>
    <w:rsid w:val="00251C1A"/>
    <w:rsid w:val="00270BC7"/>
    <w:rsid w:val="00272BE1"/>
    <w:rsid w:val="00293A6A"/>
    <w:rsid w:val="002B7306"/>
    <w:rsid w:val="002C1DFE"/>
    <w:rsid w:val="002C5061"/>
    <w:rsid w:val="00311D16"/>
    <w:rsid w:val="003124D9"/>
    <w:rsid w:val="00314720"/>
    <w:rsid w:val="003266DB"/>
    <w:rsid w:val="00330D0A"/>
    <w:rsid w:val="003343B9"/>
    <w:rsid w:val="003503FC"/>
    <w:rsid w:val="00351C5D"/>
    <w:rsid w:val="003676E3"/>
    <w:rsid w:val="0037336F"/>
    <w:rsid w:val="003737E7"/>
    <w:rsid w:val="00384FD8"/>
    <w:rsid w:val="00394B37"/>
    <w:rsid w:val="003974FB"/>
    <w:rsid w:val="003A44EA"/>
    <w:rsid w:val="003C1A9E"/>
    <w:rsid w:val="003C5C4E"/>
    <w:rsid w:val="003D2CEB"/>
    <w:rsid w:val="003E148A"/>
    <w:rsid w:val="003F12CF"/>
    <w:rsid w:val="003F2824"/>
    <w:rsid w:val="003F71AE"/>
    <w:rsid w:val="004032B8"/>
    <w:rsid w:val="00412CB1"/>
    <w:rsid w:val="0042387B"/>
    <w:rsid w:val="00431EE3"/>
    <w:rsid w:val="004323CD"/>
    <w:rsid w:val="0044212B"/>
    <w:rsid w:val="00444E69"/>
    <w:rsid w:val="004517A7"/>
    <w:rsid w:val="00472ADA"/>
    <w:rsid w:val="004753F4"/>
    <w:rsid w:val="00491CFA"/>
    <w:rsid w:val="00494A9D"/>
    <w:rsid w:val="004C0714"/>
    <w:rsid w:val="004D10C6"/>
    <w:rsid w:val="004E443D"/>
    <w:rsid w:val="004F40BD"/>
    <w:rsid w:val="005052AA"/>
    <w:rsid w:val="0051297A"/>
    <w:rsid w:val="00525D4A"/>
    <w:rsid w:val="00541CF7"/>
    <w:rsid w:val="00556AB2"/>
    <w:rsid w:val="00583E05"/>
    <w:rsid w:val="005A5FAC"/>
    <w:rsid w:val="005B1DE4"/>
    <w:rsid w:val="005B4CAD"/>
    <w:rsid w:val="005C07B5"/>
    <w:rsid w:val="005D17EA"/>
    <w:rsid w:val="005E1B5E"/>
    <w:rsid w:val="005E625F"/>
    <w:rsid w:val="005F26ED"/>
    <w:rsid w:val="005F4807"/>
    <w:rsid w:val="0061434E"/>
    <w:rsid w:val="00615771"/>
    <w:rsid w:val="00627C70"/>
    <w:rsid w:val="00652353"/>
    <w:rsid w:val="00652D91"/>
    <w:rsid w:val="0065341E"/>
    <w:rsid w:val="00661D52"/>
    <w:rsid w:val="006643ED"/>
    <w:rsid w:val="00666653"/>
    <w:rsid w:val="006736A2"/>
    <w:rsid w:val="006A74AC"/>
    <w:rsid w:val="006B1E5E"/>
    <w:rsid w:val="006C52BF"/>
    <w:rsid w:val="006C7497"/>
    <w:rsid w:val="006C7DBC"/>
    <w:rsid w:val="006E04C9"/>
    <w:rsid w:val="00711ACE"/>
    <w:rsid w:val="00714D13"/>
    <w:rsid w:val="00725156"/>
    <w:rsid w:val="00727846"/>
    <w:rsid w:val="0073164E"/>
    <w:rsid w:val="00734461"/>
    <w:rsid w:val="00752B98"/>
    <w:rsid w:val="0076461C"/>
    <w:rsid w:val="00767E4B"/>
    <w:rsid w:val="007741C3"/>
    <w:rsid w:val="007744B7"/>
    <w:rsid w:val="00786469"/>
    <w:rsid w:val="00786D9D"/>
    <w:rsid w:val="007870EE"/>
    <w:rsid w:val="00792E67"/>
    <w:rsid w:val="00797BC3"/>
    <w:rsid w:val="007A4BD4"/>
    <w:rsid w:val="007E0684"/>
    <w:rsid w:val="007E696A"/>
    <w:rsid w:val="007F448F"/>
    <w:rsid w:val="00805C18"/>
    <w:rsid w:val="008130A8"/>
    <w:rsid w:val="00830FBD"/>
    <w:rsid w:val="0083146A"/>
    <w:rsid w:val="008367C4"/>
    <w:rsid w:val="008402F7"/>
    <w:rsid w:val="00843AA9"/>
    <w:rsid w:val="00844750"/>
    <w:rsid w:val="008544CD"/>
    <w:rsid w:val="00855290"/>
    <w:rsid w:val="008C372E"/>
    <w:rsid w:val="008D1032"/>
    <w:rsid w:val="008D558C"/>
    <w:rsid w:val="008F2903"/>
    <w:rsid w:val="008F325E"/>
    <w:rsid w:val="008F4028"/>
    <w:rsid w:val="008F6346"/>
    <w:rsid w:val="009033AF"/>
    <w:rsid w:val="00905D39"/>
    <w:rsid w:val="00910C75"/>
    <w:rsid w:val="0092499B"/>
    <w:rsid w:val="00931EFE"/>
    <w:rsid w:val="009321D2"/>
    <w:rsid w:val="00935D50"/>
    <w:rsid w:val="009424B4"/>
    <w:rsid w:val="00952CC9"/>
    <w:rsid w:val="00961380"/>
    <w:rsid w:val="00984A78"/>
    <w:rsid w:val="009B370A"/>
    <w:rsid w:val="009E595A"/>
    <w:rsid w:val="009F01AD"/>
    <w:rsid w:val="009F6DA8"/>
    <w:rsid w:val="00A03B11"/>
    <w:rsid w:val="00A05F12"/>
    <w:rsid w:val="00A11385"/>
    <w:rsid w:val="00A2008B"/>
    <w:rsid w:val="00A26524"/>
    <w:rsid w:val="00A3522F"/>
    <w:rsid w:val="00A472DD"/>
    <w:rsid w:val="00A477E5"/>
    <w:rsid w:val="00A555ED"/>
    <w:rsid w:val="00A601B0"/>
    <w:rsid w:val="00A71094"/>
    <w:rsid w:val="00A7543E"/>
    <w:rsid w:val="00A758BD"/>
    <w:rsid w:val="00A91BEC"/>
    <w:rsid w:val="00A95F26"/>
    <w:rsid w:val="00AA5198"/>
    <w:rsid w:val="00AB70BE"/>
    <w:rsid w:val="00AB7D36"/>
    <w:rsid w:val="00AC65A1"/>
    <w:rsid w:val="00AE7F12"/>
    <w:rsid w:val="00AF0AF3"/>
    <w:rsid w:val="00AF31D5"/>
    <w:rsid w:val="00AF4F2D"/>
    <w:rsid w:val="00AF66C8"/>
    <w:rsid w:val="00AF7D3C"/>
    <w:rsid w:val="00B123A2"/>
    <w:rsid w:val="00B12EB0"/>
    <w:rsid w:val="00B14E8F"/>
    <w:rsid w:val="00B2542D"/>
    <w:rsid w:val="00B33074"/>
    <w:rsid w:val="00B553CA"/>
    <w:rsid w:val="00B65B7C"/>
    <w:rsid w:val="00B71C72"/>
    <w:rsid w:val="00B7749A"/>
    <w:rsid w:val="00B83102"/>
    <w:rsid w:val="00B86FE2"/>
    <w:rsid w:val="00B93682"/>
    <w:rsid w:val="00BA37A6"/>
    <w:rsid w:val="00BB1EC4"/>
    <w:rsid w:val="00BC3206"/>
    <w:rsid w:val="00BD4D06"/>
    <w:rsid w:val="00BE6E53"/>
    <w:rsid w:val="00BF0116"/>
    <w:rsid w:val="00BF2AF0"/>
    <w:rsid w:val="00C27E20"/>
    <w:rsid w:val="00C360EF"/>
    <w:rsid w:val="00C36A82"/>
    <w:rsid w:val="00C377CF"/>
    <w:rsid w:val="00C4076B"/>
    <w:rsid w:val="00C5761A"/>
    <w:rsid w:val="00C57798"/>
    <w:rsid w:val="00C6338F"/>
    <w:rsid w:val="00C766D7"/>
    <w:rsid w:val="00C87173"/>
    <w:rsid w:val="00C91997"/>
    <w:rsid w:val="00CC12C1"/>
    <w:rsid w:val="00CC4D9A"/>
    <w:rsid w:val="00CE71E2"/>
    <w:rsid w:val="00CE7F5C"/>
    <w:rsid w:val="00D005DE"/>
    <w:rsid w:val="00D11610"/>
    <w:rsid w:val="00D12A52"/>
    <w:rsid w:val="00D163C6"/>
    <w:rsid w:val="00D177B1"/>
    <w:rsid w:val="00D23898"/>
    <w:rsid w:val="00D3315C"/>
    <w:rsid w:val="00D37235"/>
    <w:rsid w:val="00D45FE7"/>
    <w:rsid w:val="00D7002F"/>
    <w:rsid w:val="00D72503"/>
    <w:rsid w:val="00D774CF"/>
    <w:rsid w:val="00D94AE3"/>
    <w:rsid w:val="00D9707A"/>
    <w:rsid w:val="00DA1D87"/>
    <w:rsid w:val="00DC1408"/>
    <w:rsid w:val="00DD672B"/>
    <w:rsid w:val="00DE1147"/>
    <w:rsid w:val="00E0129D"/>
    <w:rsid w:val="00E05DCD"/>
    <w:rsid w:val="00E078E9"/>
    <w:rsid w:val="00E10DE8"/>
    <w:rsid w:val="00E77F31"/>
    <w:rsid w:val="00E94438"/>
    <w:rsid w:val="00E954DF"/>
    <w:rsid w:val="00EA0FD6"/>
    <w:rsid w:val="00EA4A73"/>
    <w:rsid w:val="00EC624D"/>
    <w:rsid w:val="00EC7531"/>
    <w:rsid w:val="00ED6506"/>
    <w:rsid w:val="00ED6FD5"/>
    <w:rsid w:val="00EE270C"/>
    <w:rsid w:val="00F006E0"/>
    <w:rsid w:val="00F078C1"/>
    <w:rsid w:val="00F15C63"/>
    <w:rsid w:val="00F32E4C"/>
    <w:rsid w:val="00F365C7"/>
    <w:rsid w:val="00F41E98"/>
    <w:rsid w:val="00F47F26"/>
    <w:rsid w:val="00F76FCE"/>
    <w:rsid w:val="00F80531"/>
    <w:rsid w:val="00F9065B"/>
    <w:rsid w:val="00FB09A7"/>
    <w:rsid w:val="00FB130E"/>
    <w:rsid w:val="00FC2ACC"/>
    <w:rsid w:val="00FC4A73"/>
    <w:rsid w:val="00FD0C00"/>
    <w:rsid w:val="00FD4CF2"/>
    <w:rsid w:val="00FD7D10"/>
    <w:rsid w:val="00FE0F37"/>
    <w:rsid w:val="00FE2697"/>
    <w:rsid w:val="00FE56A4"/>
    <w:rsid w:val="00FF19F7"/>
    <w:rsid w:val="00FF2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241AB0B"/>
  <w15:docId w15:val="{D6D1298A-ADE3-4062-A8B7-51F657E8C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E10DE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44CD"/>
    <w:rPr>
      <w:sz w:val="22"/>
      <w:szCs w:val="22"/>
      <w:lang w:eastAsia="en-US"/>
    </w:rPr>
  </w:style>
  <w:style w:type="paragraph" w:styleId="ListParagraph">
    <w:name w:val="List Paragraph"/>
    <w:basedOn w:val="Normal"/>
    <w:uiPriority w:val="34"/>
    <w:qFormat/>
    <w:rsid w:val="002C5061"/>
    <w:pPr>
      <w:ind w:left="720"/>
    </w:pPr>
  </w:style>
  <w:style w:type="paragraph" w:styleId="BalloonText">
    <w:name w:val="Balloon Text"/>
    <w:basedOn w:val="Normal"/>
    <w:semiHidden/>
    <w:rsid w:val="008402F7"/>
    <w:rPr>
      <w:rFonts w:ascii="Tahoma" w:hAnsi="Tahoma" w:cs="Tahoma"/>
      <w:sz w:val="16"/>
      <w:szCs w:val="16"/>
    </w:rPr>
  </w:style>
  <w:style w:type="paragraph" w:styleId="Header">
    <w:name w:val="header"/>
    <w:basedOn w:val="Normal"/>
    <w:rsid w:val="005E625F"/>
    <w:pPr>
      <w:tabs>
        <w:tab w:val="center" w:pos="4153"/>
        <w:tab w:val="right" w:pos="8306"/>
      </w:tabs>
    </w:pPr>
  </w:style>
  <w:style w:type="paragraph" w:styleId="Footer">
    <w:name w:val="footer"/>
    <w:basedOn w:val="Normal"/>
    <w:rsid w:val="005E625F"/>
    <w:pPr>
      <w:tabs>
        <w:tab w:val="center" w:pos="4153"/>
        <w:tab w:val="right" w:pos="8306"/>
      </w:tabs>
    </w:pPr>
  </w:style>
  <w:style w:type="character" w:styleId="PageNumber">
    <w:name w:val="page number"/>
    <w:basedOn w:val="DefaultParagraphFont"/>
    <w:rsid w:val="005E625F"/>
  </w:style>
  <w:style w:type="paragraph" w:customStyle="1" w:styleId="DeptBullets">
    <w:name w:val="DeptBullets"/>
    <w:basedOn w:val="Normal"/>
    <w:rsid w:val="00057C6A"/>
    <w:pPr>
      <w:numPr>
        <w:numId w:val="24"/>
      </w:numPr>
      <w:tabs>
        <w:tab w:val="clear" w:pos="720"/>
      </w:tabs>
      <w:overflowPunct w:val="0"/>
      <w:autoSpaceDE w:val="0"/>
      <w:autoSpaceDN w:val="0"/>
      <w:spacing w:after="240" w:line="240" w:lineRule="auto"/>
      <w:ind w:left="360"/>
    </w:pPr>
    <w:rPr>
      <w:rFonts w:ascii="Arial" w:hAnsi="Arial" w:cs="Arial"/>
      <w:sz w:val="24"/>
      <w:szCs w:val="24"/>
    </w:rPr>
  </w:style>
  <w:style w:type="table" w:styleId="TableGrid">
    <w:name w:val="Table Grid"/>
    <w:basedOn w:val="TableNormal"/>
    <w:uiPriority w:val="59"/>
    <w:rsid w:val="00FE5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4E443D"/>
    <w:rPr>
      <w:sz w:val="20"/>
      <w:szCs w:val="20"/>
    </w:rPr>
  </w:style>
  <w:style w:type="character" w:customStyle="1" w:styleId="EndnoteTextChar">
    <w:name w:val="Endnote Text Char"/>
    <w:link w:val="EndnoteText"/>
    <w:uiPriority w:val="99"/>
    <w:semiHidden/>
    <w:rsid w:val="004E443D"/>
    <w:rPr>
      <w:lang w:eastAsia="en-US"/>
    </w:rPr>
  </w:style>
  <w:style w:type="character" w:styleId="EndnoteReference">
    <w:name w:val="endnote reference"/>
    <w:uiPriority w:val="99"/>
    <w:semiHidden/>
    <w:unhideWhenUsed/>
    <w:rsid w:val="004E443D"/>
    <w:rPr>
      <w:vertAlign w:val="superscript"/>
    </w:rPr>
  </w:style>
  <w:style w:type="paragraph" w:styleId="FootnoteText">
    <w:name w:val="footnote text"/>
    <w:basedOn w:val="Normal"/>
    <w:link w:val="FootnoteTextChar"/>
    <w:uiPriority w:val="99"/>
    <w:semiHidden/>
    <w:unhideWhenUsed/>
    <w:rsid w:val="004E443D"/>
    <w:rPr>
      <w:sz w:val="20"/>
      <w:szCs w:val="20"/>
    </w:rPr>
  </w:style>
  <w:style w:type="character" w:customStyle="1" w:styleId="FootnoteTextChar">
    <w:name w:val="Footnote Text Char"/>
    <w:link w:val="FootnoteText"/>
    <w:uiPriority w:val="99"/>
    <w:semiHidden/>
    <w:rsid w:val="004E443D"/>
    <w:rPr>
      <w:lang w:eastAsia="en-US"/>
    </w:rPr>
  </w:style>
  <w:style w:type="character" w:styleId="FootnoteReference">
    <w:name w:val="footnote reference"/>
    <w:uiPriority w:val="99"/>
    <w:semiHidden/>
    <w:unhideWhenUsed/>
    <w:rsid w:val="004E443D"/>
    <w:rPr>
      <w:vertAlign w:val="superscript"/>
    </w:rPr>
  </w:style>
  <w:style w:type="paragraph" w:styleId="NormalWeb">
    <w:name w:val="Normal (Web)"/>
    <w:basedOn w:val="Normal"/>
    <w:uiPriority w:val="99"/>
    <w:semiHidden/>
    <w:unhideWhenUsed/>
    <w:rsid w:val="004C0714"/>
    <w:pPr>
      <w:spacing w:before="100" w:beforeAutospacing="1" w:after="100" w:afterAutospacing="1" w:line="240" w:lineRule="auto"/>
    </w:pPr>
    <w:rPr>
      <w:rFonts w:eastAsiaTheme="minorHAnsi" w:cs="Calibri"/>
      <w:lang w:eastAsia="en-GB"/>
    </w:rPr>
  </w:style>
  <w:style w:type="character" w:styleId="CommentReference">
    <w:name w:val="annotation reference"/>
    <w:basedOn w:val="DefaultParagraphFont"/>
    <w:uiPriority w:val="99"/>
    <w:semiHidden/>
    <w:unhideWhenUsed/>
    <w:rsid w:val="00AF4F2D"/>
    <w:rPr>
      <w:sz w:val="16"/>
      <w:szCs w:val="16"/>
    </w:rPr>
  </w:style>
  <w:style w:type="paragraph" w:styleId="CommentText">
    <w:name w:val="annotation text"/>
    <w:basedOn w:val="Normal"/>
    <w:link w:val="CommentTextChar"/>
    <w:uiPriority w:val="99"/>
    <w:semiHidden/>
    <w:unhideWhenUsed/>
    <w:rsid w:val="00AF4F2D"/>
    <w:pPr>
      <w:spacing w:line="240" w:lineRule="auto"/>
    </w:pPr>
    <w:rPr>
      <w:sz w:val="20"/>
      <w:szCs w:val="20"/>
    </w:rPr>
  </w:style>
  <w:style w:type="character" w:customStyle="1" w:styleId="CommentTextChar">
    <w:name w:val="Comment Text Char"/>
    <w:basedOn w:val="DefaultParagraphFont"/>
    <w:link w:val="CommentText"/>
    <w:uiPriority w:val="99"/>
    <w:semiHidden/>
    <w:rsid w:val="00AF4F2D"/>
    <w:rPr>
      <w:lang w:eastAsia="en-US"/>
    </w:rPr>
  </w:style>
  <w:style w:type="paragraph" w:styleId="CommentSubject">
    <w:name w:val="annotation subject"/>
    <w:basedOn w:val="CommentText"/>
    <w:next w:val="CommentText"/>
    <w:link w:val="CommentSubjectChar"/>
    <w:uiPriority w:val="99"/>
    <w:semiHidden/>
    <w:unhideWhenUsed/>
    <w:rsid w:val="00AF4F2D"/>
    <w:rPr>
      <w:b/>
      <w:bCs/>
    </w:rPr>
  </w:style>
  <w:style w:type="character" w:customStyle="1" w:styleId="CommentSubjectChar">
    <w:name w:val="Comment Subject Char"/>
    <w:basedOn w:val="CommentTextChar"/>
    <w:link w:val="CommentSubject"/>
    <w:uiPriority w:val="99"/>
    <w:semiHidden/>
    <w:rsid w:val="00AF4F2D"/>
    <w:rPr>
      <w:b/>
      <w:bCs/>
      <w:lang w:eastAsia="en-US"/>
    </w:rPr>
  </w:style>
  <w:style w:type="character" w:customStyle="1" w:styleId="Heading1Char">
    <w:name w:val="Heading 1 Char"/>
    <w:basedOn w:val="DefaultParagraphFont"/>
    <w:link w:val="Heading1"/>
    <w:uiPriority w:val="9"/>
    <w:rsid w:val="00E10DE8"/>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49469">
      <w:bodyDiv w:val="1"/>
      <w:marLeft w:val="0"/>
      <w:marRight w:val="0"/>
      <w:marTop w:val="0"/>
      <w:marBottom w:val="0"/>
      <w:divBdr>
        <w:top w:val="none" w:sz="0" w:space="0" w:color="auto"/>
        <w:left w:val="none" w:sz="0" w:space="0" w:color="auto"/>
        <w:bottom w:val="none" w:sz="0" w:space="0" w:color="auto"/>
        <w:right w:val="none" w:sz="0" w:space="0" w:color="auto"/>
      </w:divBdr>
    </w:div>
    <w:div w:id="86775791">
      <w:bodyDiv w:val="1"/>
      <w:marLeft w:val="0"/>
      <w:marRight w:val="0"/>
      <w:marTop w:val="0"/>
      <w:marBottom w:val="0"/>
      <w:divBdr>
        <w:top w:val="none" w:sz="0" w:space="0" w:color="auto"/>
        <w:left w:val="none" w:sz="0" w:space="0" w:color="auto"/>
        <w:bottom w:val="none" w:sz="0" w:space="0" w:color="auto"/>
        <w:right w:val="none" w:sz="0" w:space="0" w:color="auto"/>
      </w:divBdr>
    </w:div>
    <w:div w:id="110782030">
      <w:bodyDiv w:val="1"/>
      <w:marLeft w:val="0"/>
      <w:marRight w:val="0"/>
      <w:marTop w:val="0"/>
      <w:marBottom w:val="0"/>
      <w:divBdr>
        <w:top w:val="none" w:sz="0" w:space="0" w:color="auto"/>
        <w:left w:val="none" w:sz="0" w:space="0" w:color="auto"/>
        <w:bottom w:val="none" w:sz="0" w:space="0" w:color="auto"/>
        <w:right w:val="none" w:sz="0" w:space="0" w:color="auto"/>
      </w:divBdr>
    </w:div>
    <w:div w:id="206113213">
      <w:bodyDiv w:val="1"/>
      <w:marLeft w:val="0"/>
      <w:marRight w:val="0"/>
      <w:marTop w:val="0"/>
      <w:marBottom w:val="0"/>
      <w:divBdr>
        <w:top w:val="none" w:sz="0" w:space="0" w:color="auto"/>
        <w:left w:val="none" w:sz="0" w:space="0" w:color="auto"/>
        <w:bottom w:val="none" w:sz="0" w:space="0" w:color="auto"/>
        <w:right w:val="none" w:sz="0" w:space="0" w:color="auto"/>
      </w:divBdr>
    </w:div>
    <w:div w:id="439643824">
      <w:bodyDiv w:val="1"/>
      <w:marLeft w:val="0"/>
      <w:marRight w:val="0"/>
      <w:marTop w:val="0"/>
      <w:marBottom w:val="0"/>
      <w:divBdr>
        <w:top w:val="none" w:sz="0" w:space="0" w:color="auto"/>
        <w:left w:val="none" w:sz="0" w:space="0" w:color="auto"/>
        <w:bottom w:val="none" w:sz="0" w:space="0" w:color="auto"/>
        <w:right w:val="none" w:sz="0" w:space="0" w:color="auto"/>
      </w:divBdr>
    </w:div>
    <w:div w:id="455417808">
      <w:bodyDiv w:val="1"/>
      <w:marLeft w:val="0"/>
      <w:marRight w:val="0"/>
      <w:marTop w:val="0"/>
      <w:marBottom w:val="0"/>
      <w:divBdr>
        <w:top w:val="none" w:sz="0" w:space="0" w:color="auto"/>
        <w:left w:val="none" w:sz="0" w:space="0" w:color="auto"/>
        <w:bottom w:val="none" w:sz="0" w:space="0" w:color="auto"/>
        <w:right w:val="none" w:sz="0" w:space="0" w:color="auto"/>
      </w:divBdr>
    </w:div>
    <w:div w:id="513303556">
      <w:bodyDiv w:val="1"/>
      <w:marLeft w:val="0"/>
      <w:marRight w:val="0"/>
      <w:marTop w:val="0"/>
      <w:marBottom w:val="0"/>
      <w:divBdr>
        <w:top w:val="none" w:sz="0" w:space="0" w:color="auto"/>
        <w:left w:val="none" w:sz="0" w:space="0" w:color="auto"/>
        <w:bottom w:val="none" w:sz="0" w:space="0" w:color="auto"/>
        <w:right w:val="none" w:sz="0" w:space="0" w:color="auto"/>
      </w:divBdr>
    </w:div>
    <w:div w:id="614555924">
      <w:bodyDiv w:val="1"/>
      <w:marLeft w:val="0"/>
      <w:marRight w:val="0"/>
      <w:marTop w:val="0"/>
      <w:marBottom w:val="0"/>
      <w:divBdr>
        <w:top w:val="none" w:sz="0" w:space="0" w:color="auto"/>
        <w:left w:val="none" w:sz="0" w:space="0" w:color="auto"/>
        <w:bottom w:val="none" w:sz="0" w:space="0" w:color="auto"/>
        <w:right w:val="none" w:sz="0" w:space="0" w:color="auto"/>
      </w:divBdr>
    </w:div>
    <w:div w:id="703866960">
      <w:bodyDiv w:val="1"/>
      <w:marLeft w:val="0"/>
      <w:marRight w:val="0"/>
      <w:marTop w:val="0"/>
      <w:marBottom w:val="0"/>
      <w:divBdr>
        <w:top w:val="none" w:sz="0" w:space="0" w:color="auto"/>
        <w:left w:val="none" w:sz="0" w:space="0" w:color="auto"/>
        <w:bottom w:val="none" w:sz="0" w:space="0" w:color="auto"/>
        <w:right w:val="none" w:sz="0" w:space="0" w:color="auto"/>
      </w:divBdr>
    </w:div>
    <w:div w:id="911743342">
      <w:bodyDiv w:val="1"/>
      <w:marLeft w:val="0"/>
      <w:marRight w:val="0"/>
      <w:marTop w:val="0"/>
      <w:marBottom w:val="0"/>
      <w:divBdr>
        <w:top w:val="none" w:sz="0" w:space="0" w:color="auto"/>
        <w:left w:val="none" w:sz="0" w:space="0" w:color="auto"/>
        <w:bottom w:val="none" w:sz="0" w:space="0" w:color="auto"/>
        <w:right w:val="none" w:sz="0" w:space="0" w:color="auto"/>
      </w:divBdr>
    </w:div>
    <w:div w:id="1080100107">
      <w:bodyDiv w:val="1"/>
      <w:marLeft w:val="0"/>
      <w:marRight w:val="0"/>
      <w:marTop w:val="0"/>
      <w:marBottom w:val="0"/>
      <w:divBdr>
        <w:top w:val="none" w:sz="0" w:space="0" w:color="auto"/>
        <w:left w:val="none" w:sz="0" w:space="0" w:color="auto"/>
        <w:bottom w:val="none" w:sz="0" w:space="0" w:color="auto"/>
        <w:right w:val="none" w:sz="0" w:space="0" w:color="auto"/>
      </w:divBdr>
    </w:div>
    <w:div w:id="1190293460">
      <w:bodyDiv w:val="1"/>
      <w:marLeft w:val="0"/>
      <w:marRight w:val="0"/>
      <w:marTop w:val="0"/>
      <w:marBottom w:val="0"/>
      <w:divBdr>
        <w:top w:val="none" w:sz="0" w:space="0" w:color="auto"/>
        <w:left w:val="none" w:sz="0" w:space="0" w:color="auto"/>
        <w:bottom w:val="none" w:sz="0" w:space="0" w:color="auto"/>
        <w:right w:val="none" w:sz="0" w:space="0" w:color="auto"/>
      </w:divBdr>
    </w:div>
    <w:div w:id="1270359059">
      <w:bodyDiv w:val="1"/>
      <w:marLeft w:val="0"/>
      <w:marRight w:val="0"/>
      <w:marTop w:val="0"/>
      <w:marBottom w:val="0"/>
      <w:divBdr>
        <w:top w:val="none" w:sz="0" w:space="0" w:color="auto"/>
        <w:left w:val="none" w:sz="0" w:space="0" w:color="auto"/>
        <w:bottom w:val="none" w:sz="0" w:space="0" w:color="auto"/>
        <w:right w:val="none" w:sz="0" w:space="0" w:color="auto"/>
      </w:divBdr>
    </w:div>
    <w:div w:id="1465729169">
      <w:bodyDiv w:val="1"/>
      <w:marLeft w:val="0"/>
      <w:marRight w:val="0"/>
      <w:marTop w:val="0"/>
      <w:marBottom w:val="0"/>
      <w:divBdr>
        <w:top w:val="none" w:sz="0" w:space="0" w:color="auto"/>
        <w:left w:val="none" w:sz="0" w:space="0" w:color="auto"/>
        <w:bottom w:val="none" w:sz="0" w:space="0" w:color="auto"/>
        <w:right w:val="none" w:sz="0" w:space="0" w:color="auto"/>
      </w:divBdr>
    </w:div>
    <w:div w:id="1482848578">
      <w:bodyDiv w:val="1"/>
      <w:marLeft w:val="0"/>
      <w:marRight w:val="0"/>
      <w:marTop w:val="0"/>
      <w:marBottom w:val="0"/>
      <w:divBdr>
        <w:top w:val="none" w:sz="0" w:space="0" w:color="auto"/>
        <w:left w:val="none" w:sz="0" w:space="0" w:color="auto"/>
        <w:bottom w:val="none" w:sz="0" w:space="0" w:color="auto"/>
        <w:right w:val="none" w:sz="0" w:space="0" w:color="auto"/>
      </w:divBdr>
    </w:div>
    <w:div w:id="1574656975">
      <w:bodyDiv w:val="1"/>
      <w:marLeft w:val="0"/>
      <w:marRight w:val="0"/>
      <w:marTop w:val="0"/>
      <w:marBottom w:val="0"/>
      <w:divBdr>
        <w:top w:val="none" w:sz="0" w:space="0" w:color="auto"/>
        <w:left w:val="none" w:sz="0" w:space="0" w:color="auto"/>
        <w:bottom w:val="none" w:sz="0" w:space="0" w:color="auto"/>
        <w:right w:val="none" w:sz="0" w:space="0" w:color="auto"/>
      </w:divBdr>
    </w:div>
    <w:div w:id="1640694880">
      <w:bodyDiv w:val="1"/>
      <w:marLeft w:val="0"/>
      <w:marRight w:val="0"/>
      <w:marTop w:val="0"/>
      <w:marBottom w:val="0"/>
      <w:divBdr>
        <w:top w:val="none" w:sz="0" w:space="0" w:color="auto"/>
        <w:left w:val="none" w:sz="0" w:space="0" w:color="auto"/>
        <w:bottom w:val="none" w:sz="0" w:space="0" w:color="auto"/>
        <w:right w:val="none" w:sz="0" w:space="0" w:color="auto"/>
      </w:divBdr>
    </w:div>
    <w:div w:id="172991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1618E886DC8248B467BA3D45E4D97C" ma:contentTypeVersion="14" ma:contentTypeDescription="Create a new document." ma:contentTypeScope="" ma:versionID="0a2bffe082351f7b9b4935a19c0f4f60">
  <xsd:schema xmlns:xsd="http://www.w3.org/2001/XMLSchema" xmlns:xs="http://www.w3.org/2001/XMLSchema" xmlns:p="http://schemas.microsoft.com/office/2006/metadata/properties" xmlns:ns3="cf4fbdc1-3486-4097-bd2f-409effe17552" xmlns:ns4="a44b952a-cdab-49d8-a572-68fa4f4b8e9d" targetNamespace="http://schemas.microsoft.com/office/2006/metadata/properties" ma:root="true" ma:fieldsID="8590e9e1f525483fcfa47e8d4792eebe" ns3:_="" ns4:_="">
    <xsd:import namespace="cf4fbdc1-3486-4097-bd2f-409effe17552"/>
    <xsd:import namespace="a44b952a-cdab-49d8-a572-68fa4f4b8e9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fbdc1-3486-4097-bd2f-409effe17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4b952a-cdab-49d8-a572-68fa4f4b8e9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349A7-0CA0-4FA1-9473-E77DDB227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4fbdc1-3486-4097-bd2f-409effe17552"/>
    <ds:schemaRef ds:uri="a44b952a-cdab-49d8-a572-68fa4f4b8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C81701-9ABF-40BC-B089-4799DF93C252}">
  <ds:schemaRefs>
    <ds:schemaRef ds:uri="http://schemas.microsoft.com/sharepoint/v3/contenttype/forms"/>
  </ds:schemaRefs>
</ds:datastoreItem>
</file>

<file path=customXml/itemProps3.xml><?xml version="1.0" encoding="utf-8"?>
<ds:datastoreItem xmlns:ds="http://schemas.openxmlformats.org/officeDocument/2006/customXml" ds:itemID="{4610BBC8-F33E-4361-8EF6-8DE342B7C4F4}">
  <ds:schemaRefs>
    <ds:schemaRef ds:uri="http://purl.org/dc/terms/"/>
    <ds:schemaRef ds:uri="cf4fbdc1-3486-4097-bd2f-409effe17552"/>
    <ds:schemaRef ds:uri="http://purl.org/dc/dcmitype/"/>
    <ds:schemaRef ds:uri="http://schemas.microsoft.com/office/infopath/2007/PartnerControls"/>
    <ds:schemaRef ds:uri="http://schemas.microsoft.com/office/2006/documentManagement/types"/>
    <ds:schemaRef ds:uri="http://schemas.microsoft.com/office/2006/metadata/properties"/>
    <ds:schemaRef ds:uri="a44b952a-cdab-49d8-a572-68fa4f4b8e9d"/>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7D1EF6E7-98B0-4C58-B871-90BDB6B3B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2314</Words>
  <Characters>12891</Characters>
  <Application>Microsoft Office Word</Application>
  <DocSecurity>4</DocSecurity>
  <Lines>390</Lines>
  <Paragraphs>187</Paragraphs>
  <ScaleCrop>false</ScaleCrop>
  <HeadingPairs>
    <vt:vector size="2" baseType="variant">
      <vt:variant>
        <vt:lpstr>Title</vt:lpstr>
      </vt:variant>
      <vt:variant>
        <vt:i4>1</vt:i4>
      </vt:variant>
    </vt:vector>
  </HeadingPairs>
  <TitlesOfParts>
    <vt:vector size="1" baseType="lpstr">
      <vt:lpstr> Central School Services Block Allocations 2022-23 </vt:lpstr>
    </vt:vector>
  </TitlesOfParts>
  <Company>Service Birmingham</Company>
  <LinksUpToDate>false</LinksUpToDate>
  <CharactersWithSpaces>15018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Central School Services Block Allocations 2022-23 </dc:title>
  <dc:subject/>
  <dc:creator>Diane Lewis</dc:creator>
  <cp:keywords/>
  <cp:lastModifiedBy>Vikki Rainbow</cp:lastModifiedBy>
  <cp:revision>2</cp:revision>
  <cp:lastPrinted>2014-04-30T13:04:00Z</cp:lastPrinted>
  <dcterms:created xsi:type="dcterms:W3CDTF">2022-01-18T12:19:00Z</dcterms:created>
  <dcterms:modified xsi:type="dcterms:W3CDTF">2022-01-18T12:19:00Z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0x010100991618E886DC8248B467BA3D45E4D97C</vt:lpwstr>
  </property>
</Properties>
</file>