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208562D" w14:textId="77777777" w:rsidR="004753F4" w:rsidRDefault="008544CD" w:rsidP="00D07B4A">
      <w:pPr>
        <w:jc w:val="both"/>
      </w:pPr>
      <w:r>
        <w:object w:dxaOrig="11970" w:dyaOrig="1815" w14:anchorId="7A974F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irmingham City Council logo" style="width:414.75pt;height:63pt" o:ole="">
            <v:imagedata r:id="rId10" o:title=""/>
          </v:shape>
          <o:OLEObject Type="Embed" ProgID="Imaging.Document" ShapeID="_x0000_i1025" DrawAspect="Content" ObjectID="_1704013366" r:id="rId11"/>
        </w:object>
      </w:r>
    </w:p>
    <w:p w14:paraId="74DED788" w14:textId="77777777" w:rsidR="008544CD" w:rsidRDefault="008544CD" w:rsidP="00D07B4A">
      <w:pPr>
        <w:pStyle w:val="NoSpacing"/>
        <w:jc w:val="both"/>
      </w:pPr>
    </w:p>
    <w:p w14:paraId="23FF7EC9" w14:textId="66B4DD5F" w:rsidR="008544CD" w:rsidRPr="00D81C3B" w:rsidRDefault="00F24E70" w:rsidP="00F24E70">
      <w:pPr>
        <w:pStyle w:val="Heading1"/>
        <w:rPr>
          <w:rFonts w:ascii="Arial" w:hAnsi="Arial" w:cs="Arial"/>
          <w:b/>
          <w:bCs/>
          <w:color w:val="auto"/>
          <w:sz w:val="22"/>
          <w:szCs w:val="22"/>
        </w:rPr>
      </w:pPr>
      <w:r w:rsidRPr="00D81C3B">
        <w:rPr>
          <w:rFonts w:ascii="Arial" w:hAnsi="Arial" w:cs="Arial"/>
          <w:b/>
          <w:bCs/>
          <w:color w:val="auto"/>
          <w:sz w:val="22"/>
          <w:szCs w:val="22"/>
        </w:rPr>
        <w:t>De Delegated Budgets 2022/23</w:t>
      </w:r>
    </w:p>
    <w:p w14:paraId="794AC9E5" w14:textId="77777777" w:rsidR="00F24E70" w:rsidRDefault="00F24E70" w:rsidP="00D07B4A">
      <w:pPr>
        <w:pStyle w:val="NoSpacing"/>
        <w:jc w:val="both"/>
        <w:rPr>
          <w:rFonts w:ascii="Arial" w:hAnsi="Arial" w:cs="Arial"/>
        </w:rPr>
      </w:pPr>
    </w:p>
    <w:p w14:paraId="1BAF9A99" w14:textId="77777777" w:rsidR="008544CD" w:rsidRPr="00B33074" w:rsidRDefault="008544CD" w:rsidP="00D07B4A">
      <w:pPr>
        <w:pStyle w:val="NoSpacing"/>
        <w:jc w:val="both"/>
        <w:rPr>
          <w:rFonts w:ascii="Arial" w:hAnsi="Arial" w:cs="Arial"/>
          <w:b/>
        </w:rPr>
      </w:pPr>
      <w:r w:rsidRPr="006C52BF">
        <w:rPr>
          <w:rFonts w:cs="Calibri"/>
          <w:b/>
          <w:sz w:val="24"/>
          <w:szCs w:val="24"/>
        </w:rPr>
        <w:t>Report to:</w:t>
      </w:r>
      <w:r w:rsidRPr="006C52BF">
        <w:rPr>
          <w:rFonts w:cs="Calibri"/>
          <w:b/>
          <w:sz w:val="24"/>
          <w:szCs w:val="24"/>
        </w:rPr>
        <w:tab/>
      </w:r>
      <w:r w:rsidR="00F32E4C" w:rsidRPr="00B33074">
        <w:rPr>
          <w:rFonts w:ascii="Arial" w:hAnsi="Arial" w:cs="Arial"/>
          <w:b/>
        </w:rPr>
        <w:t>Schools Forum</w:t>
      </w:r>
    </w:p>
    <w:p w14:paraId="3ACA8E30" w14:textId="77777777" w:rsidR="00F32E4C" w:rsidRPr="00B33074" w:rsidRDefault="00F32E4C" w:rsidP="00D07B4A">
      <w:pPr>
        <w:pStyle w:val="NoSpacing"/>
        <w:jc w:val="both"/>
        <w:rPr>
          <w:rFonts w:ascii="Arial" w:hAnsi="Arial" w:cs="Arial"/>
          <w:b/>
        </w:rPr>
      </w:pPr>
    </w:p>
    <w:p w14:paraId="07BDA088" w14:textId="77777777" w:rsidR="008544CD" w:rsidRPr="00B33074" w:rsidRDefault="00EC624D" w:rsidP="00D07B4A">
      <w:pPr>
        <w:pStyle w:val="NoSpacing"/>
        <w:jc w:val="both"/>
        <w:rPr>
          <w:rFonts w:ascii="Arial" w:hAnsi="Arial" w:cs="Arial"/>
          <w:b/>
        </w:rPr>
      </w:pPr>
      <w:r w:rsidRPr="00B33074">
        <w:rPr>
          <w:rFonts w:ascii="Arial" w:hAnsi="Arial" w:cs="Arial"/>
          <w:b/>
        </w:rPr>
        <w:t>Date:</w:t>
      </w:r>
      <w:r w:rsidRPr="00B33074">
        <w:rPr>
          <w:rFonts w:ascii="Arial" w:hAnsi="Arial" w:cs="Arial"/>
          <w:b/>
        </w:rPr>
        <w:tab/>
      </w:r>
      <w:r w:rsidRPr="00B33074">
        <w:rPr>
          <w:rFonts w:ascii="Arial" w:hAnsi="Arial" w:cs="Arial"/>
          <w:b/>
        </w:rPr>
        <w:tab/>
      </w:r>
      <w:r w:rsidR="00135BA9">
        <w:rPr>
          <w:rFonts w:ascii="Arial" w:hAnsi="Arial" w:cs="Arial"/>
          <w:b/>
        </w:rPr>
        <w:t>20</w:t>
      </w:r>
      <w:r w:rsidR="004A070B" w:rsidRPr="004A070B">
        <w:rPr>
          <w:rFonts w:ascii="Arial" w:hAnsi="Arial" w:cs="Arial"/>
          <w:b/>
          <w:vertAlign w:val="superscript"/>
        </w:rPr>
        <w:t>th</w:t>
      </w:r>
      <w:r w:rsidR="004A070B">
        <w:rPr>
          <w:rFonts w:ascii="Arial" w:hAnsi="Arial" w:cs="Arial"/>
          <w:b/>
        </w:rPr>
        <w:t xml:space="preserve"> </w:t>
      </w:r>
      <w:r w:rsidR="00135BA9">
        <w:rPr>
          <w:rFonts w:ascii="Arial" w:hAnsi="Arial" w:cs="Arial"/>
          <w:b/>
        </w:rPr>
        <w:t>January 2022</w:t>
      </w:r>
      <w:r w:rsidRPr="00B33074">
        <w:rPr>
          <w:rFonts w:ascii="Arial" w:hAnsi="Arial" w:cs="Arial"/>
          <w:b/>
        </w:rPr>
        <w:tab/>
      </w:r>
    </w:p>
    <w:p w14:paraId="10C433C3" w14:textId="77777777" w:rsidR="008544CD" w:rsidRPr="00B33074" w:rsidRDefault="008544CD" w:rsidP="00D07B4A">
      <w:pPr>
        <w:pStyle w:val="NoSpacing"/>
        <w:jc w:val="both"/>
        <w:rPr>
          <w:rFonts w:ascii="Arial" w:hAnsi="Arial" w:cs="Arial"/>
          <w:b/>
        </w:rPr>
      </w:pPr>
    </w:p>
    <w:p w14:paraId="520275B6" w14:textId="77777777" w:rsidR="004D626A" w:rsidRDefault="008544CD" w:rsidP="00D07B4A">
      <w:pPr>
        <w:pStyle w:val="NoSpacing"/>
        <w:ind w:left="1440" w:hanging="1440"/>
        <w:jc w:val="both"/>
        <w:rPr>
          <w:rFonts w:ascii="Arial" w:hAnsi="Arial" w:cs="Arial"/>
          <w:b/>
        </w:rPr>
      </w:pPr>
      <w:r w:rsidRPr="00B33074">
        <w:rPr>
          <w:rFonts w:ascii="Arial" w:hAnsi="Arial" w:cs="Arial"/>
          <w:b/>
        </w:rPr>
        <w:t xml:space="preserve">Report </w:t>
      </w:r>
      <w:proofErr w:type="gramStart"/>
      <w:r w:rsidRPr="00B33074">
        <w:rPr>
          <w:rFonts w:ascii="Arial" w:hAnsi="Arial" w:cs="Arial"/>
          <w:b/>
        </w:rPr>
        <w:t>of:</w:t>
      </w:r>
      <w:proofErr w:type="gramEnd"/>
      <w:r w:rsidR="002D2C77">
        <w:rPr>
          <w:rFonts w:ascii="Arial" w:hAnsi="Arial" w:cs="Arial"/>
          <w:b/>
        </w:rPr>
        <w:tab/>
      </w:r>
      <w:r w:rsidR="00135BA9">
        <w:rPr>
          <w:rFonts w:ascii="Arial" w:hAnsi="Arial" w:cs="Arial"/>
          <w:b/>
        </w:rPr>
        <w:t>Clare Sandland</w:t>
      </w:r>
      <w:r w:rsidR="008F6346" w:rsidRPr="00985ACC">
        <w:rPr>
          <w:rFonts w:ascii="Arial" w:hAnsi="Arial" w:cs="Arial"/>
          <w:b/>
        </w:rPr>
        <w:t>, Finance</w:t>
      </w:r>
      <w:r w:rsidR="004D626A" w:rsidRPr="00985ACC">
        <w:rPr>
          <w:rFonts w:ascii="Arial" w:hAnsi="Arial" w:cs="Arial"/>
          <w:b/>
        </w:rPr>
        <w:t xml:space="preserve"> Business Partner</w:t>
      </w:r>
    </w:p>
    <w:p w14:paraId="436AB7F6" w14:textId="77777777" w:rsidR="00D52475" w:rsidRPr="00B33074" w:rsidRDefault="00D52475" w:rsidP="00D07B4A">
      <w:pPr>
        <w:pStyle w:val="NoSpacing"/>
        <w:ind w:left="1440" w:hanging="1440"/>
        <w:jc w:val="both"/>
        <w:rPr>
          <w:rFonts w:ascii="Arial" w:hAnsi="Arial" w:cs="Arial"/>
          <w:b/>
        </w:rPr>
      </w:pPr>
    </w:p>
    <w:p w14:paraId="702020F8" w14:textId="77777777" w:rsidR="0061434E" w:rsidRDefault="00EC624D" w:rsidP="00D07B4A">
      <w:pPr>
        <w:pStyle w:val="NoSpacing"/>
        <w:jc w:val="both"/>
        <w:rPr>
          <w:rFonts w:ascii="Arial" w:hAnsi="Arial" w:cs="Arial"/>
          <w:b/>
        </w:rPr>
      </w:pPr>
      <w:r w:rsidRPr="00B33074">
        <w:rPr>
          <w:rFonts w:ascii="Arial" w:hAnsi="Arial" w:cs="Arial"/>
          <w:b/>
        </w:rPr>
        <w:t>Title:</w:t>
      </w:r>
      <w:r w:rsidRPr="00B33074">
        <w:rPr>
          <w:rFonts w:ascii="Arial" w:hAnsi="Arial" w:cs="Arial"/>
          <w:b/>
        </w:rPr>
        <w:tab/>
      </w:r>
      <w:r w:rsidR="00125521" w:rsidRPr="00B33074">
        <w:rPr>
          <w:rFonts w:ascii="Arial" w:hAnsi="Arial" w:cs="Arial"/>
          <w:b/>
        </w:rPr>
        <w:t xml:space="preserve">          </w:t>
      </w:r>
      <w:r w:rsidR="00C91997" w:rsidRPr="00B33074">
        <w:rPr>
          <w:rFonts w:ascii="Arial" w:hAnsi="Arial" w:cs="Arial"/>
          <w:b/>
        </w:rPr>
        <w:t xml:space="preserve"> </w:t>
      </w:r>
      <w:r w:rsidR="00996B06">
        <w:rPr>
          <w:rFonts w:ascii="Arial" w:hAnsi="Arial" w:cs="Arial"/>
          <w:b/>
        </w:rPr>
        <w:t>De</w:t>
      </w:r>
      <w:r w:rsidR="00212454">
        <w:rPr>
          <w:rFonts w:ascii="Arial" w:hAnsi="Arial" w:cs="Arial"/>
          <w:b/>
        </w:rPr>
        <w:t xml:space="preserve"> </w:t>
      </w:r>
      <w:r w:rsidR="00996B06">
        <w:rPr>
          <w:rFonts w:ascii="Arial" w:hAnsi="Arial" w:cs="Arial"/>
          <w:b/>
        </w:rPr>
        <w:t>Delegated Budgets</w:t>
      </w:r>
      <w:r w:rsidR="00064120" w:rsidRPr="00B33074">
        <w:rPr>
          <w:rFonts w:ascii="Arial" w:hAnsi="Arial" w:cs="Arial"/>
          <w:b/>
        </w:rPr>
        <w:t xml:space="preserve"> 20</w:t>
      </w:r>
      <w:r w:rsidR="008416C3">
        <w:rPr>
          <w:rFonts w:ascii="Arial" w:hAnsi="Arial" w:cs="Arial"/>
          <w:b/>
        </w:rPr>
        <w:t>2</w:t>
      </w:r>
      <w:r w:rsidR="00135BA9">
        <w:rPr>
          <w:rFonts w:ascii="Arial" w:hAnsi="Arial" w:cs="Arial"/>
          <w:b/>
        </w:rPr>
        <w:t>2</w:t>
      </w:r>
      <w:r w:rsidR="001877E4">
        <w:rPr>
          <w:rFonts w:ascii="Arial" w:hAnsi="Arial" w:cs="Arial"/>
          <w:b/>
        </w:rPr>
        <w:t>/</w:t>
      </w:r>
      <w:r w:rsidR="004D626A">
        <w:rPr>
          <w:rFonts w:ascii="Arial" w:hAnsi="Arial" w:cs="Arial"/>
          <w:b/>
        </w:rPr>
        <w:t>2</w:t>
      </w:r>
      <w:r w:rsidR="00135BA9">
        <w:rPr>
          <w:rFonts w:ascii="Arial" w:hAnsi="Arial" w:cs="Arial"/>
          <w:b/>
        </w:rPr>
        <w:t>3</w:t>
      </w:r>
    </w:p>
    <w:p w14:paraId="1B9DCAAC" w14:textId="77777777" w:rsidR="0061434E" w:rsidRDefault="0061434E" w:rsidP="00D07B4A">
      <w:pPr>
        <w:pStyle w:val="NoSpacing"/>
        <w:jc w:val="both"/>
        <w:rPr>
          <w:rFonts w:ascii="Arial" w:hAnsi="Arial" w:cs="Arial"/>
          <w:b/>
        </w:rPr>
      </w:pPr>
    </w:p>
    <w:p w14:paraId="0F74F6A3" w14:textId="678F6A9E" w:rsidR="008544CD" w:rsidRPr="00B33074" w:rsidRDefault="004D626A" w:rsidP="00D07B4A">
      <w:pPr>
        <w:pStyle w:val="NoSpacing"/>
        <w:ind w:left="1440" w:hanging="1440"/>
        <w:jc w:val="both"/>
        <w:rPr>
          <w:rFonts w:ascii="Arial" w:hAnsi="Arial" w:cs="Arial"/>
        </w:rPr>
      </w:pPr>
      <w:r>
        <w:rPr>
          <w:rFonts w:ascii="Arial" w:hAnsi="Arial" w:cs="Arial"/>
          <w:b/>
        </w:rPr>
        <w:t>Status</w:t>
      </w:r>
      <w:r w:rsidR="003864D2">
        <w:rPr>
          <w:rFonts w:ascii="Arial" w:hAnsi="Arial" w:cs="Arial"/>
          <w:b/>
        </w:rPr>
        <w:t>:</w:t>
      </w:r>
      <w:r>
        <w:rPr>
          <w:rFonts w:ascii="Arial" w:hAnsi="Arial" w:cs="Arial"/>
          <w:b/>
        </w:rPr>
        <w:tab/>
      </w:r>
      <w:r w:rsidR="0061434E">
        <w:rPr>
          <w:rFonts w:ascii="Arial" w:hAnsi="Arial" w:cs="Arial"/>
          <w:b/>
        </w:rPr>
        <w:t xml:space="preserve">For </w:t>
      </w:r>
      <w:r w:rsidR="00D52475">
        <w:rPr>
          <w:rFonts w:ascii="Arial" w:hAnsi="Arial" w:cs="Arial"/>
          <w:b/>
        </w:rPr>
        <w:t>A</w:t>
      </w:r>
      <w:r w:rsidR="00135BA9">
        <w:rPr>
          <w:rFonts w:ascii="Arial" w:hAnsi="Arial" w:cs="Arial"/>
          <w:b/>
        </w:rPr>
        <w:t>pproval</w:t>
      </w:r>
      <w:r w:rsidR="0061434E">
        <w:rPr>
          <w:rFonts w:ascii="Arial" w:hAnsi="Arial" w:cs="Arial"/>
          <w:b/>
        </w:rPr>
        <w:t xml:space="preserve"> </w:t>
      </w:r>
    </w:p>
    <w:p w14:paraId="15269001" w14:textId="77777777" w:rsidR="008544CD" w:rsidRPr="006C52BF" w:rsidRDefault="008544CD" w:rsidP="00D07B4A">
      <w:pPr>
        <w:pStyle w:val="NoSpacing"/>
        <w:jc w:val="both"/>
        <w:rPr>
          <w:rFonts w:cs="Calibri"/>
          <w:sz w:val="24"/>
          <w:szCs w:val="24"/>
        </w:rPr>
      </w:pPr>
    </w:p>
    <w:p w14:paraId="036F201A" w14:textId="77777777" w:rsidR="00F32E4C" w:rsidRPr="009572D1" w:rsidRDefault="009572D1" w:rsidP="009572D1">
      <w:pPr>
        <w:pStyle w:val="NoSpacing"/>
        <w:numPr>
          <w:ilvl w:val="0"/>
          <w:numId w:val="33"/>
        </w:numPr>
        <w:jc w:val="both"/>
        <w:rPr>
          <w:rFonts w:ascii="Arial" w:hAnsi="Arial" w:cs="Arial"/>
          <w:b/>
          <w:sz w:val="24"/>
          <w:szCs w:val="24"/>
          <w:u w:val="single"/>
        </w:rPr>
      </w:pPr>
      <w:r w:rsidRPr="009572D1">
        <w:rPr>
          <w:rFonts w:ascii="Arial" w:hAnsi="Arial" w:cs="Arial"/>
          <w:b/>
          <w:sz w:val="24"/>
          <w:szCs w:val="24"/>
          <w:u w:val="single"/>
        </w:rPr>
        <w:t>Purpose of the Report</w:t>
      </w:r>
    </w:p>
    <w:p w14:paraId="592F3F97" w14:textId="77777777" w:rsidR="00B2542D" w:rsidRPr="00B2542D" w:rsidRDefault="00BF0116" w:rsidP="009572D1">
      <w:pPr>
        <w:pStyle w:val="NoSpacing"/>
        <w:ind w:left="720"/>
        <w:jc w:val="both"/>
        <w:rPr>
          <w:rFonts w:ascii="Arial" w:hAnsi="Arial" w:cs="Arial"/>
          <w:b/>
          <w:u w:val="single"/>
        </w:rPr>
      </w:pPr>
      <w:r w:rsidRPr="00B2542D">
        <w:rPr>
          <w:rFonts w:ascii="Arial" w:hAnsi="Arial" w:cs="Arial"/>
          <w:b/>
          <w:u w:val="single"/>
        </w:rPr>
        <w:br/>
      </w:r>
    </w:p>
    <w:p w14:paraId="04A75BE6" w14:textId="285999FD" w:rsidR="0061434E" w:rsidRDefault="005A6602" w:rsidP="009A18E5">
      <w:pPr>
        <w:ind w:right="-46"/>
        <w:jc w:val="both"/>
        <w:rPr>
          <w:rFonts w:ascii="Arial" w:hAnsi="Arial" w:cs="Arial"/>
        </w:rPr>
      </w:pPr>
      <w:r>
        <w:rPr>
          <w:rFonts w:ascii="Arial" w:hAnsi="Arial" w:cs="Arial"/>
        </w:rPr>
        <w:t>This report covers</w:t>
      </w:r>
      <w:r w:rsidRPr="005A6602">
        <w:rPr>
          <w:rFonts w:ascii="Arial" w:hAnsi="Arial" w:cs="Arial"/>
        </w:rPr>
        <w:t xml:space="preserve"> prescribed activities/commitments that </w:t>
      </w:r>
      <w:r w:rsidR="00D52475">
        <w:rPr>
          <w:rFonts w:ascii="Arial" w:hAnsi="Arial" w:cs="Arial"/>
        </w:rPr>
        <w:t>are required to</w:t>
      </w:r>
      <w:r w:rsidRPr="005A6602">
        <w:rPr>
          <w:rFonts w:ascii="Arial" w:hAnsi="Arial" w:cs="Arial"/>
        </w:rPr>
        <w:t xml:space="preserve"> be delegated through the mainstream Reception to Year 11 formula, but for which the LA can propose </w:t>
      </w:r>
      <w:r w:rsidR="00EA5D6E">
        <w:rPr>
          <w:rFonts w:ascii="Arial" w:hAnsi="Arial" w:cs="Arial"/>
        </w:rPr>
        <w:t>d</w:t>
      </w:r>
      <w:r w:rsidR="00212454">
        <w:rPr>
          <w:rFonts w:ascii="Arial" w:hAnsi="Arial" w:cs="Arial"/>
        </w:rPr>
        <w:t xml:space="preserve">e </w:t>
      </w:r>
      <w:r w:rsidR="00EA5D6E">
        <w:rPr>
          <w:rFonts w:ascii="Arial" w:hAnsi="Arial" w:cs="Arial"/>
        </w:rPr>
        <w:t>d</w:t>
      </w:r>
      <w:r w:rsidR="00212454">
        <w:rPr>
          <w:rFonts w:ascii="Arial" w:hAnsi="Arial" w:cs="Arial"/>
        </w:rPr>
        <w:t xml:space="preserve">elegation </w:t>
      </w:r>
      <w:r w:rsidRPr="005A6602">
        <w:rPr>
          <w:rFonts w:ascii="Arial" w:hAnsi="Arial" w:cs="Arial"/>
        </w:rPr>
        <w:t>for LA maintained primary and secondary schools only. For 20</w:t>
      </w:r>
      <w:r w:rsidR="008416C3">
        <w:rPr>
          <w:rFonts w:ascii="Arial" w:hAnsi="Arial" w:cs="Arial"/>
        </w:rPr>
        <w:t>2</w:t>
      </w:r>
      <w:r w:rsidR="00135BA9">
        <w:rPr>
          <w:rFonts w:ascii="Arial" w:hAnsi="Arial" w:cs="Arial"/>
        </w:rPr>
        <w:t>2</w:t>
      </w:r>
      <w:r w:rsidRPr="005A6602">
        <w:rPr>
          <w:rFonts w:ascii="Arial" w:hAnsi="Arial" w:cs="Arial"/>
        </w:rPr>
        <w:t>/</w:t>
      </w:r>
      <w:r w:rsidR="004D626A">
        <w:rPr>
          <w:rFonts w:ascii="Arial" w:hAnsi="Arial" w:cs="Arial"/>
        </w:rPr>
        <w:t>2</w:t>
      </w:r>
      <w:r w:rsidR="00135BA9">
        <w:rPr>
          <w:rFonts w:ascii="Arial" w:hAnsi="Arial" w:cs="Arial"/>
        </w:rPr>
        <w:t>3</w:t>
      </w:r>
      <w:r w:rsidRPr="005A6602">
        <w:rPr>
          <w:rFonts w:ascii="Arial" w:hAnsi="Arial" w:cs="Arial"/>
        </w:rPr>
        <w:t xml:space="preserve"> the LA is to propose </w:t>
      </w:r>
      <w:r w:rsidR="00EA5D6E">
        <w:rPr>
          <w:rFonts w:ascii="Arial" w:hAnsi="Arial" w:cs="Arial"/>
        </w:rPr>
        <w:t>d</w:t>
      </w:r>
      <w:r w:rsidR="00212454">
        <w:rPr>
          <w:rFonts w:ascii="Arial" w:hAnsi="Arial" w:cs="Arial"/>
        </w:rPr>
        <w:t xml:space="preserve">e </w:t>
      </w:r>
      <w:r w:rsidR="00EA5D6E">
        <w:rPr>
          <w:rFonts w:ascii="Arial" w:hAnsi="Arial" w:cs="Arial"/>
        </w:rPr>
        <w:t>d</w:t>
      </w:r>
      <w:r w:rsidR="00212454">
        <w:rPr>
          <w:rFonts w:ascii="Arial" w:hAnsi="Arial" w:cs="Arial"/>
        </w:rPr>
        <w:t xml:space="preserve">elegation </w:t>
      </w:r>
      <w:r w:rsidRPr="005A6602">
        <w:rPr>
          <w:rFonts w:ascii="Arial" w:hAnsi="Arial" w:cs="Arial"/>
        </w:rPr>
        <w:t xml:space="preserve">for </w:t>
      </w:r>
      <w:r w:rsidR="004D26D8">
        <w:rPr>
          <w:rFonts w:ascii="Arial" w:hAnsi="Arial" w:cs="Arial"/>
        </w:rPr>
        <w:t>three</w:t>
      </w:r>
      <w:r w:rsidR="00212454">
        <w:rPr>
          <w:rFonts w:ascii="Arial" w:hAnsi="Arial" w:cs="Arial"/>
        </w:rPr>
        <w:t xml:space="preserve"> </w:t>
      </w:r>
      <w:r w:rsidRPr="005A6602">
        <w:rPr>
          <w:rFonts w:ascii="Arial" w:hAnsi="Arial" w:cs="Arial"/>
        </w:rPr>
        <w:t>areas of commitments</w:t>
      </w:r>
      <w:r>
        <w:rPr>
          <w:rFonts w:ascii="Arial" w:hAnsi="Arial" w:cs="Arial"/>
        </w:rPr>
        <w:t xml:space="preserve"> </w:t>
      </w:r>
      <w:r w:rsidR="00FC3397">
        <w:rPr>
          <w:rFonts w:ascii="Arial" w:hAnsi="Arial" w:cs="Arial"/>
        </w:rPr>
        <w:t>which are</w:t>
      </w:r>
      <w:r>
        <w:rPr>
          <w:rFonts w:ascii="Arial" w:hAnsi="Arial" w:cs="Arial"/>
        </w:rPr>
        <w:t xml:space="preserve"> unchanged from </w:t>
      </w:r>
      <w:r w:rsidR="009572D1">
        <w:rPr>
          <w:rFonts w:ascii="Arial" w:hAnsi="Arial" w:cs="Arial"/>
        </w:rPr>
        <w:t>2021/22</w:t>
      </w:r>
      <w:r w:rsidR="00FC3397">
        <w:rPr>
          <w:rFonts w:ascii="Arial" w:hAnsi="Arial" w:cs="Arial"/>
        </w:rPr>
        <w:t>.</w:t>
      </w:r>
      <w:r w:rsidR="009A18E5" w:rsidRPr="00F91AFE">
        <w:rPr>
          <w:rFonts w:ascii="Arial" w:hAnsi="Arial" w:cs="Arial"/>
        </w:rPr>
        <w:t xml:space="preserve"> </w:t>
      </w:r>
    </w:p>
    <w:p w14:paraId="237D4A71" w14:textId="77777777" w:rsidR="009A18E5" w:rsidRPr="005A6602" w:rsidRDefault="009A18E5" w:rsidP="009A18E5">
      <w:pPr>
        <w:pStyle w:val="NoSpacing"/>
        <w:ind w:left="-567" w:right="-330"/>
        <w:jc w:val="both"/>
        <w:rPr>
          <w:rFonts w:ascii="Arial" w:hAnsi="Arial" w:cs="Arial"/>
          <w:b/>
          <w:u w:val="single"/>
        </w:rPr>
      </w:pPr>
    </w:p>
    <w:p w14:paraId="189D9A42" w14:textId="23288AEC" w:rsidR="009572D1" w:rsidRDefault="009572D1" w:rsidP="009572D1">
      <w:pPr>
        <w:ind w:right="-188"/>
        <w:jc w:val="both"/>
        <w:rPr>
          <w:rFonts w:ascii="Arial" w:hAnsi="Arial" w:cs="Arial"/>
        </w:rPr>
      </w:pPr>
      <w:r>
        <w:rPr>
          <w:rFonts w:ascii="Arial" w:hAnsi="Arial" w:cs="Arial"/>
        </w:rPr>
        <w:t>The</w:t>
      </w:r>
      <w:r w:rsidR="00707E10">
        <w:rPr>
          <w:rFonts w:ascii="Arial" w:hAnsi="Arial" w:cs="Arial"/>
        </w:rPr>
        <w:t>se</w:t>
      </w:r>
      <w:r>
        <w:rPr>
          <w:rFonts w:ascii="Arial" w:hAnsi="Arial" w:cs="Arial"/>
        </w:rPr>
        <w:t xml:space="preserve"> three areas </w:t>
      </w:r>
      <w:r w:rsidR="00707E10">
        <w:rPr>
          <w:rFonts w:ascii="Arial" w:hAnsi="Arial" w:cs="Arial"/>
        </w:rPr>
        <w:t xml:space="preserve">are: </w:t>
      </w:r>
    </w:p>
    <w:p w14:paraId="71339B35" w14:textId="1833CFF4" w:rsidR="009572D1" w:rsidRDefault="009572D1" w:rsidP="009572D1">
      <w:pPr>
        <w:numPr>
          <w:ilvl w:val="0"/>
          <w:numId w:val="37"/>
        </w:numPr>
        <w:ind w:left="426" w:right="-188"/>
        <w:jc w:val="both"/>
        <w:rPr>
          <w:rFonts w:ascii="Arial" w:hAnsi="Arial" w:cs="Arial"/>
        </w:rPr>
      </w:pPr>
      <w:r w:rsidRPr="00F70BA5">
        <w:rPr>
          <w:rFonts w:ascii="Arial" w:hAnsi="Arial" w:cs="Arial"/>
        </w:rPr>
        <w:t>Contingencies: to fund residual costs arising from the opening/closing of schools, deficits of discontinued schools, schools in financial difficult</w:t>
      </w:r>
      <w:r w:rsidR="00707E10">
        <w:rPr>
          <w:rFonts w:ascii="Arial" w:hAnsi="Arial" w:cs="Arial"/>
        </w:rPr>
        <w:t>ies</w:t>
      </w:r>
      <w:r w:rsidR="00D52475">
        <w:rPr>
          <w:rFonts w:ascii="Arial" w:hAnsi="Arial" w:cs="Arial"/>
        </w:rPr>
        <w:t>, and other</w:t>
      </w:r>
      <w:r w:rsidRPr="00F70BA5">
        <w:rPr>
          <w:rFonts w:ascii="Arial" w:hAnsi="Arial" w:cs="Arial"/>
        </w:rPr>
        <w:t xml:space="preserve"> expenditure where the circumstances were unforeseen.</w:t>
      </w:r>
    </w:p>
    <w:p w14:paraId="63D63A29" w14:textId="77777777" w:rsidR="009572D1" w:rsidRDefault="009572D1" w:rsidP="009572D1">
      <w:pPr>
        <w:numPr>
          <w:ilvl w:val="0"/>
          <w:numId w:val="37"/>
        </w:numPr>
        <w:ind w:left="426" w:right="-188"/>
        <w:jc w:val="both"/>
        <w:rPr>
          <w:rFonts w:ascii="Arial" w:hAnsi="Arial" w:cs="Arial"/>
        </w:rPr>
      </w:pPr>
      <w:r w:rsidRPr="00F70BA5">
        <w:rPr>
          <w:rFonts w:ascii="Arial" w:hAnsi="Arial" w:cs="Arial"/>
        </w:rPr>
        <w:t>Facilities Time: this enables the costs of releasing city-wide union representatives to be shared between schools, so that they do not fall disproportionately on the staffing of a small number of schools with these representatives</w:t>
      </w:r>
      <w:r w:rsidR="00D52475">
        <w:rPr>
          <w:rFonts w:ascii="Arial" w:hAnsi="Arial" w:cs="Arial"/>
        </w:rPr>
        <w:t>.</w:t>
      </w:r>
    </w:p>
    <w:p w14:paraId="2C82251E" w14:textId="77777777" w:rsidR="009572D1" w:rsidRDefault="009572D1" w:rsidP="009572D1">
      <w:pPr>
        <w:numPr>
          <w:ilvl w:val="0"/>
          <w:numId w:val="37"/>
        </w:numPr>
        <w:ind w:left="426" w:right="-188"/>
        <w:jc w:val="both"/>
        <w:rPr>
          <w:rFonts w:ascii="Arial" w:hAnsi="Arial" w:cs="Arial"/>
        </w:rPr>
      </w:pPr>
      <w:r w:rsidRPr="00F70BA5">
        <w:rPr>
          <w:rFonts w:ascii="Arial" w:hAnsi="Arial" w:cs="Arial"/>
        </w:rPr>
        <w:t>Behavioural Support Services: this is part of helping to sustain inclusion. The budget will allow resourcing of short</w:t>
      </w:r>
      <w:r>
        <w:rPr>
          <w:rFonts w:ascii="Arial" w:hAnsi="Arial" w:cs="Arial"/>
        </w:rPr>
        <w:t>-</w:t>
      </w:r>
      <w:r w:rsidRPr="00F70BA5">
        <w:rPr>
          <w:rFonts w:ascii="Arial" w:hAnsi="Arial" w:cs="Arial"/>
        </w:rPr>
        <w:t>term programmes</w:t>
      </w:r>
      <w:r w:rsidR="00D52475">
        <w:rPr>
          <w:rFonts w:ascii="Arial" w:hAnsi="Arial" w:cs="Arial"/>
        </w:rPr>
        <w:t xml:space="preserve"> and</w:t>
      </w:r>
      <w:r w:rsidRPr="00F70BA5">
        <w:rPr>
          <w:rFonts w:ascii="Arial" w:hAnsi="Arial" w:cs="Arial"/>
        </w:rPr>
        <w:t xml:space="preserve"> preventative type work via the City of Birmingham School to continue while alternative models are developed for future years</w:t>
      </w:r>
      <w:r w:rsidR="007D6F1F">
        <w:rPr>
          <w:rFonts w:ascii="Arial" w:hAnsi="Arial" w:cs="Arial"/>
        </w:rPr>
        <w:t>.</w:t>
      </w:r>
    </w:p>
    <w:p w14:paraId="17D6AACB" w14:textId="77777777" w:rsidR="009A18E5" w:rsidRDefault="007D6F1F" w:rsidP="009A18E5">
      <w:pPr>
        <w:ind w:right="-46"/>
        <w:jc w:val="both"/>
        <w:rPr>
          <w:rFonts w:ascii="Arial" w:hAnsi="Arial" w:cs="Arial"/>
        </w:rPr>
      </w:pPr>
      <w:bookmarkStart w:id="1" w:name="_Hlk92820056"/>
      <w:r>
        <w:rPr>
          <w:rFonts w:ascii="Arial" w:hAnsi="Arial" w:cs="Arial"/>
        </w:rPr>
        <w:t>The u</w:t>
      </w:r>
      <w:r w:rsidR="009A18E5" w:rsidRPr="00C9428B">
        <w:rPr>
          <w:rFonts w:ascii="Arial" w:hAnsi="Arial" w:cs="Arial"/>
        </w:rPr>
        <w:t xml:space="preserve">nit rate </w:t>
      </w:r>
      <w:bookmarkEnd w:id="1"/>
      <w:r w:rsidR="009A18E5">
        <w:rPr>
          <w:rFonts w:ascii="Arial" w:hAnsi="Arial" w:cs="Arial"/>
        </w:rPr>
        <w:t>has been increased by 3% in 2022/23, ho</w:t>
      </w:r>
      <w:r w:rsidR="009A18E5" w:rsidRPr="00C9428B">
        <w:rPr>
          <w:rFonts w:ascii="Arial" w:hAnsi="Arial" w:cs="Arial"/>
        </w:rPr>
        <w:t xml:space="preserve">wever academisation and pupil number changes will lead to a reduction in </w:t>
      </w:r>
      <w:r>
        <w:rPr>
          <w:rFonts w:ascii="Arial" w:hAnsi="Arial" w:cs="Arial"/>
        </w:rPr>
        <w:t xml:space="preserve">overall </w:t>
      </w:r>
      <w:r w:rsidR="00EA5D6E">
        <w:rPr>
          <w:rFonts w:ascii="Arial" w:hAnsi="Arial" w:cs="Arial"/>
        </w:rPr>
        <w:t>d</w:t>
      </w:r>
      <w:r w:rsidR="009A18E5" w:rsidRPr="00C9428B">
        <w:rPr>
          <w:rFonts w:ascii="Arial" w:hAnsi="Arial" w:cs="Arial"/>
        </w:rPr>
        <w:t>e</w:t>
      </w:r>
      <w:r w:rsidR="00212454">
        <w:rPr>
          <w:rFonts w:ascii="Arial" w:hAnsi="Arial" w:cs="Arial"/>
        </w:rPr>
        <w:t xml:space="preserve"> </w:t>
      </w:r>
      <w:r w:rsidR="00EA5D6E">
        <w:rPr>
          <w:rFonts w:ascii="Arial" w:hAnsi="Arial" w:cs="Arial"/>
        </w:rPr>
        <w:t>d</w:t>
      </w:r>
      <w:r w:rsidR="009A18E5" w:rsidRPr="00C9428B">
        <w:rPr>
          <w:rFonts w:ascii="Arial" w:hAnsi="Arial" w:cs="Arial"/>
        </w:rPr>
        <w:t>elegat</w:t>
      </w:r>
      <w:r w:rsidR="009A18E5">
        <w:rPr>
          <w:rFonts w:ascii="Arial" w:hAnsi="Arial" w:cs="Arial"/>
        </w:rPr>
        <w:t xml:space="preserve">ion. </w:t>
      </w:r>
      <w:r w:rsidR="009A18E5" w:rsidRPr="00C9428B">
        <w:rPr>
          <w:rFonts w:ascii="Arial" w:hAnsi="Arial" w:cs="Arial"/>
        </w:rPr>
        <w:t xml:space="preserve"> </w:t>
      </w:r>
    </w:p>
    <w:p w14:paraId="2162FEBF" w14:textId="0FA3F9B7" w:rsidR="009572D1" w:rsidRPr="00F70BA5" w:rsidRDefault="007D6F1F" w:rsidP="009572D1">
      <w:pPr>
        <w:ind w:right="-188"/>
        <w:jc w:val="both"/>
        <w:rPr>
          <w:rFonts w:ascii="Arial" w:hAnsi="Arial" w:cs="Arial"/>
        </w:rPr>
      </w:pPr>
      <w:r>
        <w:rPr>
          <w:rFonts w:ascii="Arial" w:hAnsi="Arial" w:cs="Arial"/>
        </w:rPr>
        <w:t xml:space="preserve">The </w:t>
      </w:r>
      <w:r w:rsidR="004D59E1">
        <w:rPr>
          <w:rFonts w:ascii="Arial" w:hAnsi="Arial" w:cs="Arial"/>
        </w:rPr>
        <w:t>LA</w:t>
      </w:r>
      <w:r w:rsidR="009572D1" w:rsidRPr="00F70BA5">
        <w:rPr>
          <w:rFonts w:ascii="Arial" w:hAnsi="Arial" w:cs="Arial"/>
        </w:rPr>
        <w:t xml:space="preserve"> seek</w:t>
      </w:r>
      <w:r>
        <w:rPr>
          <w:rFonts w:ascii="Arial" w:hAnsi="Arial" w:cs="Arial"/>
        </w:rPr>
        <w:t>s</w:t>
      </w:r>
      <w:r w:rsidR="009572D1" w:rsidRPr="00F70BA5">
        <w:rPr>
          <w:rFonts w:ascii="Arial" w:hAnsi="Arial" w:cs="Arial"/>
        </w:rPr>
        <w:t xml:space="preserve"> approval from Forum members representing maintained primary and secondary schools only, to agree to </w:t>
      </w:r>
      <w:r w:rsidR="009572D1">
        <w:rPr>
          <w:rFonts w:ascii="Arial" w:hAnsi="Arial" w:cs="Arial"/>
        </w:rPr>
        <w:t>continue the</w:t>
      </w:r>
      <w:r w:rsidR="009572D1" w:rsidRPr="00F70BA5">
        <w:rPr>
          <w:rFonts w:ascii="Arial" w:hAnsi="Arial" w:cs="Arial"/>
        </w:rPr>
        <w:t xml:space="preserve"> </w:t>
      </w:r>
      <w:r w:rsidR="009572D1">
        <w:rPr>
          <w:rFonts w:ascii="Arial" w:hAnsi="Arial" w:cs="Arial"/>
        </w:rPr>
        <w:t>above three</w:t>
      </w:r>
      <w:r w:rsidR="009572D1" w:rsidRPr="00F70BA5">
        <w:rPr>
          <w:rFonts w:ascii="Arial" w:hAnsi="Arial" w:cs="Arial"/>
        </w:rPr>
        <w:t xml:space="preserve"> areas for </w:t>
      </w:r>
      <w:r w:rsidR="00EA5D6E">
        <w:rPr>
          <w:rFonts w:ascii="Arial" w:hAnsi="Arial" w:cs="Arial"/>
        </w:rPr>
        <w:t>d</w:t>
      </w:r>
      <w:r w:rsidR="009572D1" w:rsidRPr="00F70BA5">
        <w:rPr>
          <w:rFonts w:ascii="Arial" w:hAnsi="Arial" w:cs="Arial"/>
        </w:rPr>
        <w:t xml:space="preserve">e </w:t>
      </w:r>
      <w:r w:rsidR="00EA5D6E">
        <w:rPr>
          <w:rFonts w:ascii="Arial" w:hAnsi="Arial" w:cs="Arial"/>
        </w:rPr>
        <w:t>d</w:t>
      </w:r>
      <w:r w:rsidR="009572D1" w:rsidRPr="00F70BA5">
        <w:rPr>
          <w:rFonts w:ascii="Arial" w:hAnsi="Arial" w:cs="Arial"/>
        </w:rPr>
        <w:t>elegation</w:t>
      </w:r>
      <w:r w:rsidR="00212454">
        <w:rPr>
          <w:rFonts w:ascii="Arial" w:hAnsi="Arial" w:cs="Arial"/>
        </w:rPr>
        <w:t xml:space="preserve"> </w:t>
      </w:r>
      <w:r w:rsidR="009572D1" w:rsidRPr="00F70BA5">
        <w:rPr>
          <w:rFonts w:ascii="Arial" w:hAnsi="Arial" w:cs="Arial"/>
        </w:rPr>
        <w:t>for 2022</w:t>
      </w:r>
      <w:r w:rsidR="001877E4">
        <w:rPr>
          <w:rFonts w:ascii="Arial" w:hAnsi="Arial" w:cs="Arial"/>
        </w:rPr>
        <w:t>/</w:t>
      </w:r>
      <w:r w:rsidR="009572D1" w:rsidRPr="00F70BA5">
        <w:rPr>
          <w:rFonts w:ascii="Arial" w:hAnsi="Arial" w:cs="Arial"/>
        </w:rPr>
        <w:t>23</w:t>
      </w:r>
      <w:r w:rsidR="00BB1D25">
        <w:rPr>
          <w:rFonts w:ascii="Arial" w:hAnsi="Arial" w:cs="Arial"/>
        </w:rPr>
        <w:t xml:space="preserve"> and the increase of 3%</w:t>
      </w:r>
      <w:r w:rsidR="009572D1" w:rsidRPr="00F70BA5">
        <w:rPr>
          <w:rFonts w:ascii="Arial" w:hAnsi="Arial" w:cs="Arial"/>
        </w:rPr>
        <w:t xml:space="preserve">.  </w:t>
      </w:r>
    </w:p>
    <w:p w14:paraId="6DD3A66C" w14:textId="04DB4A75" w:rsidR="00F91AFE" w:rsidRPr="00F91AFE" w:rsidRDefault="00F91AFE" w:rsidP="009572D1">
      <w:pPr>
        <w:pStyle w:val="NormalWeb"/>
        <w:spacing w:before="0" w:beforeAutospacing="0" w:after="200" w:afterAutospacing="0" w:line="276" w:lineRule="auto"/>
        <w:jc w:val="both"/>
        <w:rPr>
          <w:rFonts w:ascii="Arial" w:hAnsi="Arial" w:cs="Arial"/>
          <w:sz w:val="22"/>
          <w:szCs w:val="22"/>
          <w:lang w:eastAsia="en-US"/>
        </w:rPr>
      </w:pPr>
      <w:r>
        <w:rPr>
          <w:rFonts w:ascii="Arial" w:hAnsi="Arial" w:cs="Arial"/>
          <w:sz w:val="22"/>
          <w:szCs w:val="22"/>
          <w:lang w:eastAsia="en-US"/>
        </w:rPr>
        <w:t>On</w:t>
      </w:r>
      <w:r w:rsidRPr="00F91AFE">
        <w:rPr>
          <w:rFonts w:ascii="Arial" w:hAnsi="Arial" w:cs="Arial"/>
          <w:sz w:val="22"/>
          <w:szCs w:val="22"/>
          <w:lang w:eastAsia="en-US"/>
        </w:rPr>
        <w:t xml:space="preserve"> 11th January 2022, </w:t>
      </w:r>
      <w:r w:rsidR="007D6F1F">
        <w:rPr>
          <w:rFonts w:ascii="Arial" w:hAnsi="Arial" w:cs="Arial"/>
          <w:sz w:val="22"/>
          <w:szCs w:val="22"/>
          <w:lang w:eastAsia="en-US"/>
        </w:rPr>
        <w:t xml:space="preserve">the </w:t>
      </w:r>
      <w:r w:rsidRPr="00F91AFE">
        <w:rPr>
          <w:rFonts w:ascii="Arial" w:hAnsi="Arial" w:cs="Arial"/>
          <w:sz w:val="22"/>
          <w:szCs w:val="22"/>
          <w:lang w:eastAsia="en-US"/>
        </w:rPr>
        <w:t xml:space="preserve">ESFA confirmed </w:t>
      </w:r>
      <w:r w:rsidR="007D6F1F">
        <w:rPr>
          <w:rFonts w:ascii="Arial" w:hAnsi="Arial" w:cs="Arial"/>
          <w:sz w:val="22"/>
          <w:szCs w:val="22"/>
          <w:lang w:eastAsia="en-US"/>
        </w:rPr>
        <w:t xml:space="preserve">it will </w:t>
      </w:r>
      <w:r w:rsidRPr="00F91AFE">
        <w:rPr>
          <w:rFonts w:ascii="Arial" w:hAnsi="Arial" w:cs="Arial"/>
          <w:sz w:val="22"/>
          <w:szCs w:val="22"/>
          <w:lang w:eastAsia="en-US"/>
        </w:rPr>
        <w:t xml:space="preserve">proceed with reducing the </w:t>
      </w:r>
      <w:r w:rsidR="00D52475">
        <w:rPr>
          <w:rFonts w:ascii="Arial" w:hAnsi="Arial" w:cs="Arial"/>
          <w:sz w:val="22"/>
          <w:szCs w:val="22"/>
          <w:lang w:eastAsia="en-US"/>
        </w:rPr>
        <w:t>L</w:t>
      </w:r>
      <w:r w:rsidRPr="00F91AFE">
        <w:rPr>
          <w:rFonts w:ascii="Arial" w:hAnsi="Arial" w:cs="Arial"/>
          <w:sz w:val="22"/>
          <w:szCs w:val="22"/>
          <w:lang w:eastAsia="en-US"/>
        </w:rPr>
        <w:t xml:space="preserve">ocal </w:t>
      </w:r>
      <w:r w:rsidR="00D52475">
        <w:rPr>
          <w:rFonts w:ascii="Arial" w:hAnsi="Arial" w:cs="Arial"/>
          <w:sz w:val="22"/>
          <w:szCs w:val="22"/>
          <w:lang w:eastAsia="en-US"/>
        </w:rPr>
        <w:t>A</w:t>
      </w:r>
      <w:r w:rsidRPr="00F91AFE">
        <w:rPr>
          <w:rFonts w:ascii="Arial" w:hAnsi="Arial" w:cs="Arial"/>
          <w:sz w:val="22"/>
          <w:szCs w:val="22"/>
          <w:lang w:eastAsia="en-US"/>
        </w:rPr>
        <w:t xml:space="preserve">uthority </w:t>
      </w:r>
      <w:r w:rsidR="00D52475">
        <w:rPr>
          <w:rFonts w:ascii="Arial" w:hAnsi="Arial" w:cs="Arial"/>
          <w:sz w:val="22"/>
          <w:szCs w:val="22"/>
          <w:lang w:eastAsia="en-US"/>
        </w:rPr>
        <w:t>S</w:t>
      </w:r>
      <w:r w:rsidRPr="00F91AFE">
        <w:rPr>
          <w:rFonts w:ascii="Arial" w:hAnsi="Arial" w:cs="Arial"/>
          <w:sz w:val="22"/>
          <w:szCs w:val="22"/>
          <w:lang w:eastAsia="en-US"/>
        </w:rPr>
        <w:t xml:space="preserve">chool </w:t>
      </w:r>
      <w:r w:rsidR="00D52475">
        <w:rPr>
          <w:rFonts w:ascii="Arial" w:hAnsi="Arial" w:cs="Arial"/>
          <w:sz w:val="22"/>
          <w:szCs w:val="22"/>
          <w:lang w:eastAsia="en-US"/>
        </w:rPr>
        <w:t>I</w:t>
      </w:r>
      <w:r w:rsidRPr="00F91AFE">
        <w:rPr>
          <w:rFonts w:ascii="Arial" w:hAnsi="Arial" w:cs="Arial"/>
          <w:sz w:val="22"/>
          <w:szCs w:val="22"/>
          <w:lang w:eastAsia="en-US"/>
        </w:rPr>
        <w:t xml:space="preserve">mprovement </w:t>
      </w:r>
      <w:r w:rsidR="00D52475">
        <w:rPr>
          <w:rFonts w:ascii="Arial" w:hAnsi="Arial" w:cs="Arial"/>
          <w:sz w:val="22"/>
          <w:szCs w:val="22"/>
          <w:lang w:eastAsia="en-US"/>
        </w:rPr>
        <w:t>M</w:t>
      </w:r>
      <w:r w:rsidRPr="00F91AFE">
        <w:rPr>
          <w:rFonts w:ascii="Arial" w:hAnsi="Arial" w:cs="Arial"/>
          <w:sz w:val="22"/>
          <w:szCs w:val="22"/>
          <w:lang w:eastAsia="en-US"/>
        </w:rPr>
        <w:t xml:space="preserve">onitoring and </w:t>
      </w:r>
      <w:r w:rsidR="00D52475">
        <w:rPr>
          <w:rFonts w:ascii="Arial" w:hAnsi="Arial" w:cs="Arial"/>
          <w:sz w:val="22"/>
          <w:szCs w:val="22"/>
          <w:lang w:eastAsia="en-US"/>
        </w:rPr>
        <w:t>B</w:t>
      </w:r>
      <w:r w:rsidRPr="00F91AFE">
        <w:rPr>
          <w:rFonts w:ascii="Arial" w:hAnsi="Arial" w:cs="Arial"/>
          <w:sz w:val="22"/>
          <w:szCs w:val="22"/>
          <w:lang w:eastAsia="en-US"/>
        </w:rPr>
        <w:t xml:space="preserve">rokering </w:t>
      </w:r>
      <w:r w:rsidR="00D52475">
        <w:rPr>
          <w:rFonts w:ascii="Arial" w:hAnsi="Arial" w:cs="Arial"/>
          <w:sz w:val="22"/>
          <w:szCs w:val="22"/>
          <w:lang w:eastAsia="en-US"/>
        </w:rPr>
        <w:t>G</w:t>
      </w:r>
      <w:r w:rsidRPr="00F91AFE">
        <w:rPr>
          <w:rFonts w:ascii="Arial" w:hAnsi="Arial" w:cs="Arial"/>
          <w:sz w:val="22"/>
          <w:szCs w:val="22"/>
          <w:lang w:eastAsia="en-US"/>
        </w:rPr>
        <w:t>rant by 50% for financial year 2022</w:t>
      </w:r>
      <w:r w:rsidR="007D6F1F">
        <w:rPr>
          <w:rFonts w:ascii="Arial" w:hAnsi="Arial" w:cs="Arial"/>
          <w:sz w:val="22"/>
          <w:szCs w:val="22"/>
          <w:lang w:eastAsia="en-US"/>
        </w:rPr>
        <w:t>/</w:t>
      </w:r>
      <w:r w:rsidRPr="00F91AFE">
        <w:rPr>
          <w:rFonts w:ascii="Arial" w:hAnsi="Arial" w:cs="Arial"/>
          <w:sz w:val="22"/>
          <w:szCs w:val="22"/>
          <w:lang w:eastAsia="en-US"/>
        </w:rPr>
        <w:t>2023, prior to full removal in financial year 2023</w:t>
      </w:r>
      <w:r w:rsidR="007D6F1F">
        <w:rPr>
          <w:rFonts w:ascii="Arial" w:hAnsi="Arial" w:cs="Arial"/>
          <w:sz w:val="22"/>
          <w:szCs w:val="22"/>
          <w:lang w:eastAsia="en-US"/>
        </w:rPr>
        <w:t>/</w:t>
      </w:r>
      <w:r w:rsidRPr="00F91AFE">
        <w:rPr>
          <w:rFonts w:ascii="Arial" w:hAnsi="Arial" w:cs="Arial"/>
          <w:sz w:val="22"/>
          <w:szCs w:val="22"/>
          <w:lang w:eastAsia="en-US"/>
        </w:rPr>
        <w:t xml:space="preserve">2024. Provision will be included in the School and Early Years Finance Regulations 2022 (England) to instead allow </w:t>
      </w:r>
      <w:r w:rsidR="004D59E1">
        <w:rPr>
          <w:rFonts w:ascii="Arial" w:hAnsi="Arial" w:cs="Arial"/>
          <w:sz w:val="22"/>
          <w:szCs w:val="22"/>
          <w:lang w:eastAsia="en-US"/>
        </w:rPr>
        <w:t>l</w:t>
      </w:r>
      <w:r w:rsidRPr="00F91AFE">
        <w:rPr>
          <w:rFonts w:ascii="Arial" w:hAnsi="Arial" w:cs="Arial"/>
          <w:sz w:val="22"/>
          <w:szCs w:val="22"/>
          <w:lang w:eastAsia="en-US"/>
        </w:rPr>
        <w:t xml:space="preserve">ocal </w:t>
      </w:r>
      <w:r w:rsidR="004D59E1">
        <w:rPr>
          <w:rFonts w:ascii="Arial" w:hAnsi="Arial" w:cs="Arial"/>
          <w:sz w:val="22"/>
          <w:szCs w:val="22"/>
          <w:lang w:eastAsia="en-US"/>
        </w:rPr>
        <w:t>a</w:t>
      </w:r>
      <w:r w:rsidRPr="00F91AFE">
        <w:rPr>
          <w:rFonts w:ascii="Arial" w:hAnsi="Arial" w:cs="Arial"/>
          <w:sz w:val="22"/>
          <w:szCs w:val="22"/>
          <w:lang w:eastAsia="en-US"/>
        </w:rPr>
        <w:t xml:space="preserve">uthorities to deduct </w:t>
      </w:r>
      <w:r w:rsidRPr="00F91AFE">
        <w:rPr>
          <w:rFonts w:ascii="Arial" w:hAnsi="Arial" w:cs="Arial"/>
          <w:sz w:val="22"/>
          <w:szCs w:val="22"/>
          <w:lang w:eastAsia="en-US"/>
        </w:rPr>
        <w:lastRenderedPageBreak/>
        <w:t xml:space="preserve">funding for </w:t>
      </w:r>
      <w:r w:rsidR="004D59E1">
        <w:rPr>
          <w:rFonts w:ascii="Arial" w:hAnsi="Arial" w:cs="Arial"/>
          <w:sz w:val="22"/>
          <w:szCs w:val="22"/>
          <w:lang w:eastAsia="en-US"/>
        </w:rPr>
        <w:t>their</w:t>
      </w:r>
      <w:r w:rsidRPr="00F91AFE">
        <w:rPr>
          <w:rFonts w:ascii="Arial" w:hAnsi="Arial" w:cs="Arial"/>
          <w:sz w:val="22"/>
          <w:szCs w:val="22"/>
          <w:lang w:eastAsia="en-US"/>
        </w:rPr>
        <w:t xml:space="preserve"> core school improvement activities from maintained school</w:t>
      </w:r>
      <w:r w:rsidR="007D6F1F">
        <w:rPr>
          <w:rFonts w:ascii="Arial" w:hAnsi="Arial" w:cs="Arial"/>
          <w:sz w:val="22"/>
          <w:szCs w:val="22"/>
          <w:lang w:eastAsia="en-US"/>
        </w:rPr>
        <w:t>s</w:t>
      </w:r>
      <w:r w:rsidRPr="00F91AFE">
        <w:rPr>
          <w:rFonts w:ascii="Arial" w:hAnsi="Arial" w:cs="Arial"/>
          <w:sz w:val="22"/>
          <w:szCs w:val="22"/>
          <w:lang w:eastAsia="en-US"/>
        </w:rPr>
        <w:t xml:space="preserve">. </w:t>
      </w:r>
      <w:r w:rsidR="00AF7912">
        <w:rPr>
          <w:rFonts w:ascii="Arial" w:hAnsi="Arial" w:cs="Arial"/>
          <w:sz w:val="22"/>
          <w:szCs w:val="22"/>
          <w:lang w:eastAsia="en-US"/>
        </w:rPr>
        <w:t>T</w:t>
      </w:r>
      <w:r w:rsidR="007D6F1F" w:rsidRPr="00437A1D">
        <w:rPr>
          <w:rFonts w:ascii="Arial" w:hAnsi="Arial" w:cs="Arial"/>
          <w:sz w:val="22"/>
          <w:szCs w:val="22"/>
          <w:lang w:eastAsia="en-US"/>
        </w:rPr>
        <w:t>he</w:t>
      </w:r>
      <w:r w:rsidRPr="00437A1D">
        <w:rPr>
          <w:rFonts w:ascii="Arial" w:hAnsi="Arial" w:cs="Arial"/>
          <w:sz w:val="22"/>
          <w:szCs w:val="22"/>
          <w:lang w:eastAsia="en-US"/>
        </w:rPr>
        <w:t xml:space="preserve"> LA </w:t>
      </w:r>
      <w:r w:rsidR="0030665F" w:rsidRPr="00437A1D">
        <w:rPr>
          <w:rFonts w:ascii="Arial" w:hAnsi="Arial" w:cs="Arial"/>
          <w:sz w:val="22"/>
          <w:szCs w:val="22"/>
          <w:lang w:eastAsia="en-US"/>
        </w:rPr>
        <w:t xml:space="preserve">is not </w:t>
      </w:r>
      <w:r w:rsidR="00AF7912" w:rsidRPr="00437A1D">
        <w:rPr>
          <w:rFonts w:ascii="Arial" w:hAnsi="Arial" w:cs="Arial"/>
          <w:sz w:val="22"/>
          <w:szCs w:val="22"/>
          <w:lang w:eastAsia="en-US"/>
        </w:rPr>
        <w:t>proposing</w:t>
      </w:r>
      <w:r w:rsidR="0030665F" w:rsidRPr="00437A1D">
        <w:rPr>
          <w:rFonts w:ascii="Arial" w:hAnsi="Arial" w:cs="Arial"/>
          <w:sz w:val="22"/>
          <w:szCs w:val="22"/>
          <w:lang w:eastAsia="en-US"/>
        </w:rPr>
        <w:t xml:space="preserve"> </w:t>
      </w:r>
      <w:r w:rsidR="009D5F0B">
        <w:rPr>
          <w:rFonts w:ascii="Arial" w:hAnsi="Arial" w:cs="Arial"/>
          <w:sz w:val="22"/>
          <w:szCs w:val="22"/>
          <w:lang w:eastAsia="en-US"/>
        </w:rPr>
        <w:t>to</w:t>
      </w:r>
      <w:r w:rsidR="00E16246" w:rsidRPr="00437A1D">
        <w:rPr>
          <w:rFonts w:ascii="Arial" w:hAnsi="Arial" w:cs="Arial"/>
          <w:sz w:val="22"/>
          <w:szCs w:val="22"/>
          <w:lang w:eastAsia="en-US"/>
        </w:rPr>
        <w:t xml:space="preserve"> </w:t>
      </w:r>
      <w:r w:rsidR="00EA5D6E" w:rsidRPr="00437A1D">
        <w:rPr>
          <w:rFonts w:ascii="Arial" w:hAnsi="Arial" w:cs="Arial"/>
          <w:sz w:val="22"/>
          <w:szCs w:val="22"/>
          <w:lang w:eastAsia="en-US"/>
        </w:rPr>
        <w:t>d</w:t>
      </w:r>
      <w:r w:rsidR="00D07B4A" w:rsidRPr="00437A1D">
        <w:rPr>
          <w:rFonts w:ascii="Arial" w:hAnsi="Arial" w:cs="Arial"/>
          <w:sz w:val="22"/>
          <w:szCs w:val="22"/>
          <w:lang w:eastAsia="en-US"/>
        </w:rPr>
        <w:t>e</w:t>
      </w:r>
      <w:r w:rsidR="007D6F1F" w:rsidRPr="00437A1D">
        <w:rPr>
          <w:rFonts w:ascii="Arial" w:hAnsi="Arial" w:cs="Arial"/>
          <w:sz w:val="22"/>
          <w:szCs w:val="22"/>
          <w:lang w:eastAsia="en-US"/>
        </w:rPr>
        <w:t xml:space="preserve"> </w:t>
      </w:r>
      <w:r w:rsidR="00EA5D6E" w:rsidRPr="00437A1D">
        <w:rPr>
          <w:rFonts w:ascii="Arial" w:hAnsi="Arial" w:cs="Arial"/>
          <w:sz w:val="22"/>
          <w:szCs w:val="22"/>
          <w:lang w:eastAsia="en-US"/>
        </w:rPr>
        <w:t>d</w:t>
      </w:r>
      <w:r w:rsidR="00D07B4A" w:rsidRPr="00437A1D">
        <w:rPr>
          <w:rFonts w:ascii="Arial" w:hAnsi="Arial" w:cs="Arial"/>
          <w:sz w:val="22"/>
          <w:szCs w:val="22"/>
          <w:lang w:eastAsia="en-US"/>
        </w:rPr>
        <w:t>elegat</w:t>
      </w:r>
      <w:r w:rsidR="00FE52AD" w:rsidRPr="00437A1D">
        <w:rPr>
          <w:rFonts w:ascii="Arial" w:hAnsi="Arial" w:cs="Arial"/>
          <w:sz w:val="22"/>
          <w:szCs w:val="22"/>
          <w:lang w:eastAsia="en-US"/>
        </w:rPr>
        <w:t>e</w:t>
      </w:r>
      <w:r w:rsidR="00D07B4A" w:rsidRPr="00437A1D">
        <w:rPr>
          <w:rFonts w:ascii="Arial" w:hAnsi="Arial" w:cs="Arial"/>
          <w:sz w:val="22"/>
          <w:szCs w:val="22"/>
          <w:lang w:eastAsia="en-US"/>
        </w:rPr>
        <w:t xml:space="preserve"> </w:t>
      </w:r>
      <w:r w:rsidR="00E16246" w:rsidRPr="00437A1D">
        <w:rPr>
          <w:rFonts w:ascii="Arial" w:hAnsi="Arial" w:cs="Arial"/>
          <w:sz w:val="22"/>
          <w:szCs w:val="22"/>
          <w:lang w:eastAsia="en-US"/>
        </w:rPr>
        <w:t xml:space="preserve">from </w:t>
      </w:r>
      <w:r w:rsidR="00651CBC" w:rsidRPr="00437A1D">
        <w:rPr>
          <w:rFonts w:ascii="Arial" w:hAnsi="Arial" w:cs="Arial"/>
          <w:sz w:val="22"/>
          <w:szCs w:val="22"/>
          <w:lang w:eastAsia="en-US"/>
        </w:rPr>
        <w:t>maintained</w:t>
      </w:r>
      <w:r w:rsidR="00E16246" w:rsidRPr="00437A1D">
        <w:rPr>
          <w:rFonts w:ascii="Arial" w:hAnsi="Arial" w:cs="Arial"/>
          <w:sz w:val="22"/>
          <w:szCs w:val="22"/>
          <w:lang w:eastAsia="en-US"/>
        </w:rPr>
        <w:t xml:space="preserve"> schools for </w:t>
      </w:r>
      <w:r w:rsidR="00A26A72" w:rsidRPr="00437A1D">
        <w:rPr>
          <w:rFonts w:ascii="Arial" w:hAnsi="Arial" w:cs="Arial"/>
          <w:sz w:val="22"/>
          <w:szCs w:val="22"/>
          <w:lang w:eastAsia="en-US"/>
        </w:rPr>
        <w:t xml:space="preserve">this </w:t>
      </w:r>
      <w:r w:rsidR="00E16246" w:rsidRPr="00437A1D">
        <w:rPr>
          <w:rFonts w:ascii="Arial" w:hAnsi="Arial" w:cs="Arial"/>
          <w:sz w:val="22"/>
          <w:szCs w:val="22"/>
          <w:lang w:eastAsia="en-US"/>
        </w:rPr>
        <w:t>in 2022/23</w:t>
      </w:r>
      <w:r w:rsidR="00E16246">
        <w:rPr>
          <w:rFonts w:ascii="Arial" w:hAnsi="Arial" w:cs="Arial"/>
          <w:sz w:val="22"/>
          <w:szCs w:val="22"/>
          <w:lang w:eastAsia="en-US"/>
        </w:rPr>
        <w:t>.</w:t>
      </w:r>
      <w:r w:rsidR="009A18E5">
        <w:rPr>
          <w:rFonts w:ascii="Arial" w:hAnsi="Arial" w:cs="Arial"/>
          <w:sz w:val="22"/>
          <w:szCs w:val="22"/>
          <w:lang w:eastAsia="en-US"/>
        </w:rPr>
        <w:t xml:space="preserve"> </w:t>
      </w:r>
    </w:p>
    <w:p w14:paraId="6BA4708C" w14:textId="76732BD3" w:rsidR="00376174" w:rsidRDefault="00D07B4A" w:rsidP="00A600E8">
      <w:pPr>
        <w:ind w:right="-46"/>
        <w:jc w:val="both"/>
        <w:rPr>
          <w:rFonts w:ascii="Arial" w:hAnsi="Arial" w:cs="Arial"/>
        </w:rPr>
      </w:pPr>
      <w:r>
        <w:rPr>
          <w:rFonts w:ascii="Arial" w:hAnsi="Arial" w:cs="Arial"/>
        </w:rPr>
        <w:t xml:space="preserve">Therefore, </w:t>
      </w:r>
      <w:r w:rsidR="007D6F1F">
        <w:rPr>
          <w:rFonts w:ascii="Arial" w:hAnsi="Arial" w:cs="Arial"/>
        </w:rPr>
        <w:t xml:space="preserve">the proposed </w:t>
      </w:r>
      <w:r>
        <w:rPr>
          <w:rFonts w:ascii="Arial" w:hAnsi="Arial" w:cs="Arial"/>
        </w:rPr>
        <w:t xml:space="preserve">2022/23 </w:t>
      </w:r>
      <w:r w:rsidR="009572D1">
        <w:rPr>
          <w:rFonts w:ascii="Arial" w:hAnsi="Arial" w:cs="Arial"/>
        </w:rPr>
        <w:t xml:space="preserve">total </w:t>
      </w:r>
      <w:r w:rsidR="00EE6C56">
        <w:rPr>
          <w:rFonts w:ascii="Arial" w:hAnsi="Arial" w:cs="Arial"/>
        </w:rPr>
        <w:t>d</w:t>
      </w:r>
      <w:r>
        <w:rPr>
          <w:rFonts w:ascii="Arial" w:hAnsi="Arial" w:cs="Arial"/>
        </w:rPr>
        <w:t xml:space="preserve">e </w:t>
      </w:r>
      <w:r w:rsidR="00EE6C56">
        <w:rPr>
          <w:rFonts w:ascii="Arial" w:hAnsi="Arial" w:cs="Arial"/>
        </w:rPr>
        <w:t>d</w:t>
      </w:r>
      <w:r>
        <w:rPr>
          <w:rFonts w:ascii="Arial" w:hAnsi="Arial" w:cs="Arial"/>
        </w:rPr>
        <w:t>elegation budget is £1,</w:t>
      </w:r>
      <w:r w:rsidR="0031142A">
        <w:rPr>
          <w:rFonts w:ascii="Arial" w:hAnsi="Arial" w:cs="Arial"/>
        </w:rPr>
        <w:t>635,</w:t>
      </w:r>
      <w:r w:rsidR="00CD2944">
        <w:rPr>
          <w:rFonts w:ascii="Arial" w:hAnsi="Arial" w:cs="Arial"/>
        </w:rPr>
        <w:t>359 as per APT</w:t>
      </w:r>
      <w:r w:rsidR="00E973EB">
        <w:rPr>
          <w:rFonts w:ascii="Arial" w:hAnsi="Arial" w:cs="Arial"/>
        </w:rPr>
        <w:t xml:space="preserve"> for the </w:t>
      </w:r>
      <w:r w:rsidR="00133940">
        <w:rPr>
          <w:rFonts w:ascii="Arial" w:hAnsi="Arial" w:cs="Arial"/>
        </w:rPr>
        <w:t xml:space="preserve">three </w:t>
      </w:r>
      <w:r w:rsidR="00A600E8">
        <w:rPr>
          <w:rFonts w:ascii="Arial" w:hAnsi="Arial" w:cs="Arial"/>
        </w:rPr>
        <w:t>existing functions</w:t>
      </w:r>
      <w:r w:rsidR="00EE0B9A">
        <w:rPr>
          <w:rFonts w:ascii="Arial" w:hAnsi="Arial" w:cs="Arial"/>
        </w:rPr>
        <w:t xml:space="preserve">. </w:t>
      </w:r>
    </w:p>
    <w:p w14:paraId="1E7E99AE" w14:textId="77777777" w:rsidR="005A6602" w:rsidRPr="005A6602" w:rsidRDefault="005A6602" w:rsidP="00D07B4A">
      <w:pPr>
        <w:ind w:right="-188"/>
        <w:jc w:val="both"/>
        <w:rPr>
          <w:rFonts w:ascii="Arial" w:hAnsi="Arial" w:cs="Arial"/>
        </w:rPr>
      </w:pPr>
      <w:r w:rsidRPr="005A6602">
        <w:rPr>
          <w:rFonts w:ascii="Arial" w:hAnsi="Arial" w:cs="Arial"/>
        </w:rPr>
        <w:t xml:space="preserve">The </w:t>
      </w:r>
      <w:r w:rsidR="009A18E5">
        <w:rPr>
          <w:rFonts w:ascii="Arial" w:hAnsi="Arial" w:cs="Arial"/>
        </w:rPr>
        <w:t xml:space="preserve">proposed </w:t>
      </w:r>
      <w:r w:rsidR="003914B2">
        <w:rPr>
          <w:rFonts w:ascii="Arial" w:hAnsi="Arial" w:cs="Arial"/>
        </w:rPr>
        <w:t xml:space="preserve">amount </w:t>
      </w:r>
      <w:r w:rsidR="009A18E5">
        <w:rPr>
          <w:rFonts w:ascii="Arial" w:hAnsi="Arial" w:cs="Arial"/>
        </w:rPr>
        <w:t xml:space="preserve">of </w:t>
      </w:r>
      <w:r w:rsidR="00EE6C56">
        <w:rPr>
          <w:rFonts w:ascii="Arial" w:hAnsi="Arial" w:cs="Arial"/>
        </w:rPr>
        <w:t>d</w:t>
      </w:r>
      <w:r w:rsidR="009A18E5">
        <w:rPr>
          <w:rFonts w:ascii="Arial" w:hAnsi="Arial" w:cs="Arial"/>
        </w:rPr>
        <w:t xml:space="preserve">e </w:t>
      </w:r>
      <w:r w:rsidR="00EE6C56">
        <w:rPr>
          <w:rFonts w:ascii="Arial" w:hAnsi="Arial" w:cs="Arial"/>
        </w:rPr>
        <w:t>d</w:t>
      </w:r>
      <w:r w:rsidR="009A18E5">
        <w:rPr>
          <w:rFonts w:ascii="Arial" w:hAnsi="Arial" w:cs="Arial"/>
        </w:rPr>
        <w:t>elegation</w:t>
      </w:r>
      <w:r w:rsidR="003914B2">
        <w:rPr>
          <w:rFonts w:ascii="Arial" w:hAnsi="Arial" w:cs="Arial"/>
        </w:rPr>
        <w:t xml:space="preserve"> </w:t>
      </w:r>
      <w:r w:rsidR="003914B2" w:rsidRPr="00F70BA5">
        <w:rPr>
          <w:rFonts w:ascii="Arial" w:hAnsi="Arial" w:cs="Arial"/>
        </w:rPr>
        <w:t xml:space="preserve">in </w:t>
      </w:r>
      <w:r w:rsidR="00B13628" w:rsidRPr="00F70BA5">
        <w:rPr>
          <w:rFonts w:ascii="Arial" w:hAnsi="Arial" w:cs="Arial"/>
        </w:rPr>
        <w:t>202</w:t>
      </w:r>
      <w:r w:rsidR="008F6009" w:rsidRPr="00F70BA5">
        <w:rPr>
          <w:rFonts w:ascii="Arial" w:hAnsi="Arial" w:cs="Arial"/>
        </w:rPr>
        <w:t>2</w:t>
      </w:r>
      <w:r w:rsidR="00B13628" w:rsidRPr="00F70BA5">
        <w:rPr>
          <w:rFonts w:ascii="Arial" w:hAnsi="Arial" w:cs="Arial"/>
        </w:rPr>
        <w:t>/2</w:t>
      </w:r>
      <w:r w:rsidR="008F6009" w:rsidRPr="00F70BA5">
        <w:rPr>
          <w:rFonts w:ascii="Arial" w:hAnsi="Arial" w:cs="Arial"/>
        </w:rPr>
        <w:t>3</w:t>
      </w:r>
      <w:r w:rsidRPr="005A6602">
        <w:rPr>
          <w:rFonts w:ascii="Arial" w:hAnsi="Arial" w:cs="Arial"/>
        </w:rPr>
        <w:t xml:space="preserve"> </w:t>
      </w:r>
      <w:r w:rsidR="009A18E5">
        <w:rPr>
          <w:rFonts w:ascii="Arial" w:hAnsi="Arial" w:cs="Arial"/>
        </w:rPr>
        <w:t>is</w:t>
      </w:r>
      <w:r w:rsidRPr="005A6602">
        <w:rPr>
          <w:rFonts w:ascii="Arial" w:hAnsi="Arial" w:cs="Arial"/>
        </w:rPr>
        <w:t xml:space="preserve"> set out in Appendix </w:t>
      </w:r>
      <w:r w:rsidR="003914B2">
        <w:rPr>
          <w:rFonts w:ascii="Arial" w:hAnsi="Arial" w:cs="Arial"/>
        </w:rPr>
        <w:t>2</w:t>
      </w:r>
      <w:r w:rsidRPr="005A6602">
        <w:rPr>
          <w:rFonts w:ascii="Arial" w:hAnsi="Arial" w:cs="Arial"/>
        </w:rPr>
        <w:t xml:space="preserve">.  </w:t>
      </w:r>
      <w:r w:rsidR="00212454">
        <w:rPr>
          <w:rFonts w:ascii="Arial" w:hAnsi="Arial" w:cs="Arial"/>
        </w:rPr>
        <w:t xml:space="preserve">De </w:t>
      </w:r>
      <w:r w:rsidR="00EE6C56">
        <w:rPr>
          <w:rFonts w:ascii="Arial" w:hAnsi="Arial" w:cs="Arial"/>
        </w:rPr>
        <w:t>d</w:t>
      </w:r>
      <w:r w:rsidR="00212454">
        <w:rPr>
          <w:rFonts w:ascii="Arial" w:hAnsi="Arial" w:cs="Arial"/>
        </w:rPr>
        <w:t xml:space="preserve">elegation </w:t>
      </w:r>
      <w:r w:rsidRPr="005A6602">
        <w:rPr>
          <w:rFonts w:ascii="Arial" w:hAnsi="Arial" w:cs="Arial"/>
        </w:rPr>
        <w:t xml:space="preserve">is not an option for Nursery Schools, Special Schools, PRUs or Academies. Their proportion of the budget is already delegated. </w:t>
      </w:r>
    </w:p>
    <w:p w14:paraId="79DA748F" w14:textId="77777777" w:rsidR="008E1797" w:rsidRDefault="005A6602" w:rsidP="00D07B4A">
      <w:pPr>
        <w:ind w:right="-188"/>
        <w:jc w:val="both"/>
        <w:rPr>
          <w:rFonts w:ascii="Arial" w:hAnsi="Arial" w:cs="Arial"/>
        </w:rPr>
      </w:pPr>
      <w:r w:rsidRPr="005A6602">
        <w:rPr>
          <w:rFonts w:ascii="Arial" w:hAnsi="Arial" w:cs="Arial"/>
        </w:rPr>
        <w:t xml:space="preserve">It is to be noted that for each proposed area for </w:t>
      </w:r>
      <w:r w:rsidR="00EA5D6E">
        <w:rPr>
          <w:rFonts w:ascii="Arial" w:hAnsi="Arial" w:cs="Arial"/>
        </w:rPr>
        <w:t>d</w:t>
      </w:r>
      <w:r w:rsidRPr="005A6602">
        <w:rPr>
          <w:rFonts w:ascii="Arial" w:hAnsi="Arial" w:cs="Arial"/>
        </w:rPr>
        <w:t xml:space="preserve">e </w:t>
      </w:r>
      <w:r w:rsidR="00EA5D6E">
        <w:rPr>
          <w:rFonts w:ascii="Arial" w:hAnsi="Arial" w:cs="Arial"/>
        </w:rPr>
        <w:t>d</w:t>
      </w:r>
      <w:r w:rsidRPr="005A6602">
        <w:rPr>
          <w:rFonts w:ascii="Arial" w:hAnsi="Arial" w:cs="Arial"/>
        </w:rPr>
        <w:t xml:space="preserve">elegation, it is for the Schools Forum members in the relevant phase (primary or secondary) to decide whether that service should be provided centrally. The decision would apply to all maintained mainstream schools in that phase and result in the funding for these services being removed from the formula before school budgets </w:t>
      </w:r>
      <w:r w:rsidR="007D6F1F">
        <w:rPr>
          <w:rFonts w:ascii="Arial" w:hAnsi="Arial" w:cs="Arial"/>
        </w:rPr>
        <w:t>are</w:t>
      </w:r>
      <w:r w:rsidR="007D6F1F" w:rsidRPr="005A6602">
        <w:rPr>
          <w:rFonts w:ascii="Arial" w:hAnsi="Arial" w:cs="Arial"/>
        </w:rPr>
        <w:t xml:space="preserve"> </w:t>
      </w:r>
      <w:r w:rsidRPr="005A6602">
        <w:rPr>
          <w:rFonts w:ascii="Arial" w:hAnsi="Arial" w:cs="Arial"/>
        </w:rPr>
        <w:t xml:space="preserve">issued. There could be different decisions made for each phase. </w:t>
      </w:r>
    </w:p>
    <w:p w14:paraId="4CB695AC" w14:textId="77777777" w:rsidR="005A6602" w:rsidRDefault="00BB3A27" w:rsidP="00D07B4A">
      <w:pPr>
        <w:pStyle w:val="NoSpacing"/>
        <w:ind w:right="-188"/>
        <w:jc w:val="both"/>
        <w:rPr>
          <w:rFonts w:ascii="Arial" w:hAnsi="Arial" w:cs="Arial"/>
        </w:rPr>
      </w:pPr>
      <w:r w:rsidRPr="00BB3A27">
        <w:rPr>
          <w:rFonts w:ascii="Arial" w:hAnsi="Arial" w:cs="Arial"/>
        </w:rPr>
        <w:t xml:space="preserve">Other possible </w:t>
      </w:r>
      <w:r>
        <w:rPr>
          <w:rFonts w:ascii="Arial" w:hAnsi="Arial" w:cs="Arial"/>
        </w:rPr>
        <w:t>items which can be de</w:t>
      </w:r>
      <w:r w:rsidR="00212454">
        <w:rPr>
          <w:rFonts w:ascii="Arial" w:hAnsi="Arial" w:cs="Arial"/>
        </w:rPr>
        <w:t xml:space="preserve"> </w:t>
      </w:r>
      <w:r>
        <w:rPr>
          <w:rFonts w:ascii="Arial" w:hAnsi="Arial" w:cs="Arial"/>
        </w:rPr>
        <w:t>delegated include:</w:t>
      </w:r>
    </w:p>
    <w:p w14:paraId="1398CDEA" w14:textId="77777777" w:rsidR="00D52475" w:rsidRDefault="00D52475" w:rsidP="00D07B4A">
      <w:pPr>
        <w:pStyle w:val="NoSpacing"/>
        <w:ind w:right="-188"/>
        <w:jc w:val="both"/>
        <w:rPr>
          <w:rFonts w:ascii="Arial" w:hAnsi="Arial" w:cs="Arial"/>
        </w:rPr>
      </w:pPr>
    </w:p>
    <w:p w14:paraId="68204918" w14:textId="77777777" w:rsidR="00BB3A27" w:rsidRDefault="00BB3A27" w:rsidP="00D07B4A">
      <w:pPr>
        <w:pStyle w:val="NoSpacing"/>
        <w:numPr>
          <w:ilvl w:val="0"/>
          <w:numId w:val="35"/>
        </w:numPr>
        <w:ind w:right="-188"/>
        <w:jc w:val="both"/>
        <w:rPr>
          <w:rFonts w:ascii="Arial" w:hAnsi="Arial" w:cs="Arial"/>
        </w:rPr>
      </w:pPr>
      <w:r>
        <w:rPr>
          <w:rFonts w:ascii="Arial" w:hAnsi="Arial" w:cs="Arial"/>
        </w:rPr>
        <w:t xml:space="preserve">Free School Meals eligibility </w:t>
      </w:r>
    </w:p>
    <w:p w14:paraId="39A11BAD" w14:textId="77777777" w:rsidR="00BB3A27" w:rsidRDefault="00BB3A27" w:rsidP="00D07B4A">
      <w:pPr>
        <w:pStyle w:val="NoSpacing"/>
        <w:numPr>
          <w:ilvl w:val="0"/>
          <w:numId w:val="35"/>
        </w:numPr>
        <w:ind w:right="-188"/>
        <w:jc w:val="both"/>
        <w:rPr>
          <w:rFonts w:ascii="Arial" w:hAnsi="Arial" w:cs="Arial"/>
        </w:rPr>
      </w:pPr>
      <w:r>
        <w:rPr>
          <w:rFonts w:ascii="Arial" w:hAnsi="Arial" w:cs="Arial"/>
        </w:rPr>
        <w:t>Insurance</w:t>
      </w:r>
    </w:p>
    <w:p w14:paraId="74AF7C48" w14:textId="77777777" w:rsidR="00BB3A27" w:rsidRDefault="00BB3A27" w:rsidP="00D07B4A">
      <w:pPr>
        <w:pStyle w:val="NoSpacing"/>
        <w:numPr>
          <w:ilvl w:val="0"/>
          <w:numId w:val="35"/>
        </w:numPr>
        <w:ind w:right="-188"/>
        <w:jc w:val="both"/>
        <w:rPr>
          <w:rFonts w:ascii="Arial" w:hAnsi="Arial" w:cs="Arial"/>
        </w:rPr>
      </w:pPr>
      <w:r>
        <w:rPr>
          <w:rFonts w:ascii="Arial" w:hAnsi="Arial" w:cs="Arial"/>
        </w:rPr>
        <w:t>Licences / Subscriptions</w:t>
      </w:r>
    </w:p>
    <w:p w14:paraId="0B3FDE74" w14:textId="77777777" w:rsidR="004E5E16" w:rsidRDefault="004E5E16" w:rsidP="00D07B4A">
      <w:pPr>
        <w:pStyle w:val="NoSpacing"/>
        <w:numPr>
          <w:ilvl w:val="0"/>
          <w:numId w:val="35"/>
        </w:numPr>
        <w:ind w:right="-188"/>
        <w:jc w:val="both"/>
        <w:rPr>
          <w:rFonts w:ascii="Arial" w:hAnsi="Arial" w:cs="Arial"/>
        </w:rPr>
      </w:pPr>
      <w:r>
        <w:rPr>
          <w:rFonts w:ascii="Arial" w:hAnsi="Arial" w:cs="Arial"/>
        </w:rPr>
        <w:t>Staff costs – supply cover excluding facility time</w:t>
      </w:r>
    </w:p>
    <w:p w14:paraId="2C45CB34" w14:textId="77777777" w:rsidR="00BB3A27" w:rsidRDefault="00BB3A27" w:rsidP="00D07B4A">
      <w:pPr>
        <w:pStyle w:val="NoSpacing"/>
        <w:numPr>
          <w:ilvl w:val="0"/>
          <w:numId w:val="35"/>
        </w:numPr>
        <w:ind w:right="-188"/>
        <w:jc w:val="both"/>
        <w:rPr>
          <w:rFonts w:ascii="Arial" w:hAnsi="Arial" w:cs="Arial"/>
        </w:rPr>
      </w:pPr>
      <w:r>
        <w:rPr>
          <w:rFonts w:ascii="Arial" w:hAnsi="Arial" w:cs="Arial"/>
        </w:rPr>
        <w:t>Support to underperforming ethnic minority groups and bilingual learners</w:t>
      </w:r>
    </w:p>
    <w:p w14:paraId="0C91532D" w14:textId="77777777" w:rsidR="00BB3A27" w:rsidRDefault="00BB3A27" w:rsidP="00D07B4A">
      <w:pPr>
        <w:pStyle w:val="NoSpacing"/>
        <w:numPr>
          <w:ilvl w:val="0"/>
          <w:numId w:val="35"/>
        </w:numPr>
        <w:ind w:right="-188"/>
        <w:jc w:val="both"/>
        <w:rPr>
          <w:rFonts w:ascii="Arial" w:hAnsi="Arial" w:cs="Arial"/>
        </w:rPr>
      </w:pPr>
      <w:r>
        <w:rPr>
          <w:rFonts w:ascii="Arial" w:hAnsi="Arial" w:cs="Arial"/>
        </w:rPr>
        <w:t>Museum and library services</w:t>
      </w:r>
    </w:p>
    <w:p w14:paraId="3E308B30" w14:textId="77777777" w:rsidR="00F70BA5" w:rsidRDefault="00F70BA5" w:rsidP="00D07B4A">
      <w:pPr>
        <w:pStyle w:val="NoSpacing"/>
        <w:ind w:right="-188"/>
        <w:jc w:val="both"/>
        <w:rPr>
          <w:rFonts w:ascii="Arial" w:hAnsi="Arial" w:cs="Arial"/>
        </w:rPr>
      </w:pPr>
    </w:p>
    <w:p w14:paraId="67587FDC" w14:textId="2C1C8ACB" w:rsidR="00BB3A27" w:rsidRPr="00BB3A27" w:rsidRDefault="00BB3A27" w:rsidP="00D07B4A">
      <w:pPr>
        <w:pStyle w:val="NoSpacing"/>
        <w:ind w:right="-188"/>
        <w:jc w:val="both"/>
        <w:rPr>
          <w:rFonts w:ascii="Arial" w:hAnsi="Arial" w:cs="Arial"/>
        </w:rPr>
      </w:pPr>
      <w:r>
        <w:rPr>
          <w:rFonts w:ascii="Arial" w:hAnsi="Arial" w:cs="Arial"/>
        </w:rPr>
        <w:t>Schools Forum representatives for the relevant phase</w:t>
      </w:r>
      <w:r w:rsidR="00EA5D6E">
        <w:rPr>
          <w:rFonts w:ascii="Arial" w:hAnsi="Arial" w:cs="Arial"/>
        </w:rPr>
        <w:t>s</w:t>
      </w:r>
      <w:r>
        <w:rPr>
          <w:rFonts w:ascii="Arial" w:hAnsi="Arial" w:cs="Arial"/>
        </w:rPr>
        <w:t xml:space="preserve"> have previously decided not </w:t>
      </w:r>
      <w:r w:rsidR="00707E10">
        <w:rPr>
          <w:rFonts w:ascii="Arial" w:hAnsi="Arial" w:cs="Arial"/>
        </w:rPr>
        <w:t xml:space="preserve">to </w:t>
      </w:r>
      <w:r>
        <w:rPr>
          <w:rFonts w:ascii="Arial" w:hAnsi="Arial" w:cs="Arial"/>
        </w:rPr>
        <w:t>de</w:t>
      </w:r>
      <w:r w:rsidR="00212454">
        <w:rPr>
          <w:rFonts w:ascii="Arial" w:hAnsi="Arial" w:cs="Arial"/>
        </w:rPr>
        <w:t xml:space="preserve"> </w:t>
      </w:r>
      <w:r>
        <w:rPr>
          <w:rFonts w:ascii="Arial" w:hAnsi="Arial" w:cs="Arial"/>
        </w:rPr>
        <w:t>delegate these aspects</w:t>
      </w:r>
      <w:r w:rsidR="00EA5D6E">
        <w:rPr>
          <w:rFonts w:ascii="Arial" w:hAnsi="Arial" w:cs="Arial"/>
        </w:rPr>
        <w:t>,</w:t>
      </w:r>
      <w:r>
        <w:rPr>
          <w:rFonts w:ascii="Arial" w:hAnsi="Arial" w:cs="Arial"/>
        </w:rPr>
        <w:t xml:space="preserve"> therefore figures have not been provided. </w:t>
      </w:r>
    </w:p>
    <w:p w14:paraId="492E0971" w14:textId="77777777" w:rsidR="005A6602" w:rsidRDefault="005A6602" w:rsidP="00D07B4A">
      <w:pPr>
        <w:pStyle w:val="NoSpacing"/>
        <w:ind w:right="-188"/>
        <w:jc w:val="both"/>
        <w:rPr>
          <w:rFonts w:ascii="Arial" w:hAnsi="Arial" w:cs="Arial"/>
          <w:b/>
          <w:u w:val="single"/>
        </w:rPr>
      </w:pPr>
    </w:p>
    <w:p w14:paraId="062D0AD2" w14:textId="77777777" w:rsidR="00AA5198" w:rsidRPr="008F6009" w:rsidRDefault="00E954DF" w:rsidP="00D07B4A">
      <w:pPr>
        <w:pStyle w:val="NoSpacing"/>
        <w:numPr>
          <w:ilvl w:val="0"/>
          <w:numId w:val="33"/>
        </w:numPr>
        <w:ind w:right="-188"/>
        <w:jc w:val="both"/>
        <w:rPr>
          <w:rFonts w:ascii="Arial" w:hAnsi="Arial" w:cs="Arial"/>
          <w:b/>
          <w:u w:val="single"/>
        </w:rPr>
      </w:pPr>
      <w:r w:rsidRPr="008F6009">
        <w:rPr>
          <w:rFonts w:ascii="Arial" w:hAnsi="Arial" w:cs="Arial"/>
          <w:b/>
          <w:u w:val="single"/>
        </w:rPr>
        <w:t xml:space="preserve">Benchmarking </w:t>
      </w:r>
    </w:p>
    <w:p w14:paraId="0904DACE" w14:textId="77777777" w:rsidR="00C6338F" w:rsidRPr="008F6009" w:rsidRDefault="00C6338F" w:rsidP="00D07B4A">
      <w:pPr>
        <w:pStyle w:val="NoSpacing"/>
        <w:ind w:right="-188"/>
        <w:jc w:val="both"/>
        <w:rPr>
          <w:rFonts w:ascii="Arial" w:hAnsi="Arial" w:cs="Arial"/>
          <w:b/>
          <w:u w:val="single"/>
        </w:rPr>
      </w:pPr>
    </w:p>
    <w:p w14:paraId="1A4AD360" w14:textId="5E055886" w:rsidR="00251C1A" w:rsidRPr="00EA5D6E" w:rsidRDefault="00ED0C24" w:rsidP="00D07B4A">
      <w:pPr>
        <w:ind w:right="-188"/>
        <w:jc w:val="both"/>
        <w:rPr>
          <w:rFonts w:ascii="Arial" w:hAnsi="Arial" w:cs="Arial"/>
        </w:rPr>
      </w:pPr>
      <w:r>
        <w:rPr>
          <w:rFonts w:ascii="Arial" w:hAnsi="Arial" w:cs="Arial"/>
        </w:rPr>
        <w:t>Please see Appendix 1 for</w:t>
      </w:r>
      <w:r w:rsidR="00DD761E" w:rsidRPr="008F6009">
        <w:rPr>
          <w:rFonts w:ascii="Arial" w:hAnsi="Arial" w:cs="Arial"/>
        </w:rPr>
        <w:t xml:space="preserve"> benchmarking data </w:t>
      </w:r>
      <w:r w:rsidR="00C6338F" w:rsidRPr="008F6009">
        <w:rPr>
          <w:rFonts w:ascii="Arial" w:hAnsi="Arial" w:cs="Arial"/>
        </w:rPr>
        <w:t xml:space="preserve">issued by the DfE using </w:t>
      </w:r>
      <w:r w:rsidR="00F70BA5">
        <w:rPr>
          <w:rFonts w:ascii="Arial" w:hAnsi="Arial" w:cs="Arial"/>
        </w:rPr>
        <w:t>2021/22</w:t>
      </w:r>
      <w:r w:rsidR="00985ACC" w:rsidRPr="008F6009">
        <w:rPr>
          <w:rFonts w:ascii="Arial" w:hAnsi="Arial" w:cs="Arial"/>
        </w:rPr>
        <w:t xml:space="preserve"> </w:t>
      </w:r>
      <w:r w:rsidR="00C6338F" w:rsidRPr="008F6009">
        <w:rPr>
          <w:rFonts w:ascii="Arial" w:hAnsi="Arial" w:cs="Arial"/>
        </w:rPr>
        <w:t>Section 251 statements. The columns set out the totality of what LAs could be budgeting</w:t>
      </w:r>
      <w:r w:rsidR="009572D1">
        <w:rPr>
          <w:rFonts w:ascii="Arial" w:hAnsi="Arial" w:cs="Arial"/>
        </w:rPr>
        <w:t xml:space="preserve"> </w:t>
      </w:r>
      <w:r w:rsidR="00C6338F" w:rsidRPr="008F6009">
        <w:rPr>
          <w:rFonts w:ascii="Arial" w:hAnsi="Arial" w:cs="Arial"/>
        </w:rPr>
        <w:t>for</w:t>
      </w:r>
      <w:r w:rsidR="007D6F1F">
        <w:rPr>
          <w:rFonts w:ascii="Arial" w:hAnsi="Arial" w:cs="Arial"/>
        </w:rPr>
        <w:t>,</w:t>
      </w:r>
      <w:r w:rsidR="00C6338F" w:rsidRPr="008F6009">
        <w:rPr>
          <w:rFonts w:ascii="Arial" w:hAnsi="Arial" w:cs="Arial"/>
        </w:rPr>
        <w:t xml:space="preserve"> but </w:t>
      </w:r>
      <w:r w:rsidR="00251C1A" w:rsidRPr="008F6009">
        <w:rPr>
          <w:rFonts w:ascii="Arial" w:hAnsi="Arial" w:cs="Arial"/>
        </w:rPr>
        <w:t xml:space="preserve">it is </w:t>
      </w:r>
      <w:r w:rsidR="00C6338F" w:rsidRPr="008F6009">
        <w:rPr>
          <w:rFonts w:ascii="Arial" w:hAnsi="Arial" w:cs="Arial"/>
        </w:rPr>
        <w:t xml:space="preserve">the </w:t>
      </w:r>
      <w:r w:rsidR="00376174">
        <w:rPr>
          <w:rFonts w:ascii="Arial" w:hAnsi="Arial" w:cs="Arial"/>
        </w:rPr>
        <w:t>green</w:t>
      </w:r>
      <w:r w:rsidR="00185B5D" w:rsidRPr="008F6009">
        <w:rPr>
          <w:rFonts w:ascii="Arial" w:hAnsi="Arial" w:cs="Arial"/>
        </w:rPr>
        <w:t xml:space="preserve"> </w:t>
      </w:r>
      <w:r w:rsidR="00C6338F" w:rsidRPr="008F6009">
        <w:rPr>
          <w:rFonts w:ascii="Arial" w:hAnsi="Arial" w:cs="Arial"/>
        </w:rPr>
        <w:t xml:space="preserve">shaded columns </w:t>
      </w:r>
      <w:r w:rsidR="00376174">
        <w:rPr>
          <w:rFonts w:ascii="Arial" w:hAnsi="Arial" w:cs="Arial"/>
        </w:rPr>
        <w:t>and rows that</w:t>
      </w:r>
      <w:r w:rsidR="00251C1A" w:rsidRPr="008F6009">
        <w:rPr>
          <w:rFonts w:ascii="Arial" w:hAnsi="Arial" w:cs="Arial"/>
        </w:rPr>
        <w:t xml:space="preserve"> highlight commitments applicable to </w:t>
      </w:r>
      <w:r w:rsidR="00C6338F" w:rsidRPr="008F6009">
        <w:rPr>
          <w:rFonts w:ascii="Arial" w:hAnsi="Arial" w:cs="Arial"/>
        </w:rPr>
        <w:t>Birmingham</w:t>
      </w:r>
      <w:r w:rsidR="00251C1A" w:rsidRPr="008F6009">
        <w:rPr>
          <w:rFonts w:ascii="Arial" w:hAnsi="Arial" w:cs="Arial"/>
        </w:rPr>
        <w:t>.</w:t>
      </w:r>
      <w:r w:rsidR="00251C1A" w:rsidRPr="00251C1A">
        <w:rPr>
          <w:rFonts w:ascii="Arial" w:hAnsi="Arial" w:cs="Arial"/>
        </w:rPr>
        <w:t xml:space="preserve"> </w:t>
      </w:r>
    </w:p>
    <w:p w14:paraId="439BC8BD" w14:textId="77777777" w:rsidR="00BF0116" w:rsidRDefault="00F76FCE" w:rsidP="00D07B4A">
      <w:pPr>
        <w:pStyle w:val="NoSpacing"/>
        <w:ind w:right="-188"/>
        <w:jc w:val="both"/>
        <w:rPr>
          <w:rFonts w:ascii="Arial" w:hAnsi="Arial" w:cs="Arial"/>
          <w:b/>
        </w:rPr>
      </w:pPr>
      <w:r>
        <w:rPr>
          <w:rFonts w:ascii="Arial" w:hAnsi="Arial" w:cs="Arial"/>
          <w:b/>
        </w:rPr>
        <w:t xml:space="preserve">    </w:t>
      </w:r>
      <w:r w:rsidR="00185B5D">
        <w:rPr>
          <w:rFonts w:ascii="Arial" w:hAnsi="Arial" w:cs="Arial"/>
          <w:b/>
        </w:rPr>
        <w:t>3</w:t>
      </w:r>
      <w:r>
        <w:rPr>
          <w:rFonts w:ascii="Arial" w:hAnsi="Arial" w:cs="Arial"/>
          <w:b/>
        </w:rPr>
        <w:t xml:space="preserve">. </w:t>
      </w:r>
      <w:r w:rsidR="00376174">
        <w:rPr>
          <w:rFonts w:ascii="Arial" w:hAnsi="Arial" w:cs="Arial"/>
          <w:b/>
        </w:rPr>
        <w:t xml:space="preserve"> </w:t>
      </w:r>
      <w:r w:rsidRPr="009572D1">
        <w:rPr>
          <w:rFonts w:ascii="Arial" w:hAnsi="Arial" w:cs="Arial"/>
          <w:b/>
          <w:u w:val="single"/>
        </w:rPr>
        <w:t>Recommendations</w:t>
      </w:r>
    </w:p>
    <w:p w14:paraId="4A70E3B6" w14:textId="77777777" w:rsidR="00F76FCE" w:rsidRDefault="00F76FCE" w:rsidP="00D07B4A">
      <w:pPr>
        <w:pStyle w:val="NoSpacing"/>
        <w:ind w:right="-188"/>
        <w:jc w:val="both"/>
        <w:rPr>
          <w:rFonts w:ascii="Arial" w:hAnsi="Arial" w:cs="Arial"/>
          <w:b/>
        </w:rPr>
      </w:pPr>
    </w:p>
    <w:p w14:paraId="67DC89EB" w14:textId="77777777" w:rsidR="00F76FCE" w:rsidRDefault="004A070B" w:rsidP="00D07B4A">
      <w:pPr>
        <w:pStyle w:val="NoSpacing"/>
        <w:ind w:right="-188"/>
        <w:jc w:val="both"/>
        <w:rPr>
          <w:rFonts w:ascii="Arial" w:hAnsi="Arial" w:cs="Arial"/>
        </w:rPr>
      </w:pPr>
      <w:r w:rsidRPr="004A070B">
        <w:rPr>
          <w:rFonts w:ascii="Arial" w:hAnsi="Arial" w:cs="Arial"/>
        </w:rPr>
        <w:t>School Forum to agree the allocations for 202</w:t>
      </w:r>
      <w:r w:rsidR="00F14F8D">
        <w:rPr>
          <w:rFonts w:ascii="Arial" w:hAnsi="Arial" w:cs="Arial"/>
        </w:rPr>
        <w:t>2</w:t>
      </w:r>
      <w:r w:rsidRPr="004A070B">
        <w:rPr>
          <w:rFonts w:ascii="Arial" w:hAnsi="Arial" w:cs="Arial"/>
        </w:rPr>
        <w:t>/2</w:t>
      </w:r>
      <w:r w:rsidR="00F14F8D">
        <w:rPr>
          <w:rFonts w:ascii="Arial" w:hAnsi="Arial" w:cs="Arial"/>
        </w:rPr>
        <w:t>3</w:t>
      </w:r>
      <w:r w:rsidRPr="004A070B">
        <w:rPr>
          <w:rFonts w:ascii="Arial" w:hAnsi="Arial" w:cs="Arial"/>
        </w:rPr>
        <w:t xml:space="preserve"> as outlined in Appendix </w:t>
      </w:r>
      <w:r>
        <w:rPr>
          <w:rFonts w:ascii="Arial" w:hAnsi="Arial" w:cs="Arial"/>
        </w:rPr>
        <w:t>2</w:t>
      </w:r>
      <w:r w:rsidRPr="004A070B">
        <w:rPr>
          <w:rFonts w:ascii="Arial" w:hAnsi="Arial" w:cs="Arial"/>
        </w:rPr>
        <w:t>.</w:t>
      </w:r>
      <w:r w:rsidR="00BB3A27">
        <w:rPr>
          <w:rFonts w:ascii="Arial" w:hAnsi="Arial" w:cs="Arial"/>
        </w:rPr>
        <w:t xml:space="preserve"> Please note that the actual total figures are subject to change </w:t>
      </w:r>
      <w:r w:rsidR="007D6F1F">
        <w:rPr>
          <w:rFonts w:ascii="Arial" w:hAnsi="Arial" w:cs="Arial"/>
        </w:rPr>
        <w:t xml:space="preserve">due to </w:t>
      </w:r>
      <w:r w:rsidR="00BB3A27">
        <w:rPr>
          <w:rFonts w:ascii="Arial" w:hAnsi="Arial" w:cs="Arial"/>
        </w:rPr>
        <w:t xml:space="preserve">academisation. </w:t>
      </w:r>
    </w:p>
    <w:p w14:paraId="12A3DD2E" w14:textId="77777777" w:rsidR="008F6009" w:rsidRPr="00ED0C24" w:rsidRDefault="008F6009" w:rsidP="00A864D8">
      <w:pPr>
        <w:pStyle w:val="NoSpacing"/>
        <w:ind w:left="-142" w:right="-188"/>
        <w:jc w:val="both"/>
        <w:rPr>
          <w:rFonts w:ascii="Arial" w:hAnsi="Arial" w:cs="Arial"/>
          <w:b/>
          <w:bCs/>
          <w:noProof/>
        </w:rPr>
      </w:pPr>
      <w:r>
        <w:rPr>
          <w:rFonts w:ascii="Arial" w:hAnsi="Arial" w:cs="Arial"/>
        </w:rPr>
        <w:br w:type="page"/>
      </w:r>
      <w:r w:rsidR="00ED0C24" w:rsidRPr="00ED0C24">
        <w:rPr>
          <w:rFonts w:ascii="Arial" w:hAnsi="Arial" w:cs="Arial"/>
          <w:b/>
          <w:bCs/>
        </w:rPr>
        <w:lastRenderedPageBreak/>
        <w:t xml:space="preserve">Appendix 1: Benchmarking </w:t>
      </w:r>
    </w:p>
    <w:p w14:paraId="3368FB43" w14:textId="77777777" w:rsidR="00ED0C24" w:rsidRDefault="00ED0C24" w:rsidP="00D07B4A">
      <w:pPr>
        <w:pStyle w:val="NoSpacing"/>
        <w:ind w:left="-993" w:right="-1039"/>
        <w:jc w:val="both"/>
        <w:rPr>
          <w:rFonts w:ascii="Arial" w:hAnsi="Arial" w:cs="Arial"/>
          <w:noProof/>
        </w:rPr>
      </w:pPr>
    </w:p>
    <w:p w14:paraId="5D7C131A" w14:textId="3DBDA1CB" w:rsidR="00ED0C24" w:rsidRDefault="00092544" w:rsidP="00A864D8">
      <w:pPr>
        <w:pStyle w:val="NoSpacing"/>
        <w:ind w:left="-284" w:right="-1039"/>
        <w:jc w:val="both"/>
        <w:rPr>
          <w:rFonts w:ascii="Arial" w:hAnsi="Arial" w:cs="Arial"/>
          <w:noProof/>
        </w:rPr>
      </w:pPr>
      <w:r>
        <w:t>Source:</w:t>
      </w:r>
      <w:r w:rsidR="004F29D1" w:rsidRPr="004F29D1">
        <w:t xml:space="preserve"> https://www.gov.uk/government/publications/section-251-2021-to-2022</w:t>
      </w:r>
    </w:p>
    <w:p w14:paraId="7BF5BD82" w14:textId="77777777" w:rsidR="00ED0C24" w:rsidRDefault="00ED0C24" w:rsidP="00D07B4A">
      <w:pPr>
        <w:pStyle w:val="NoSpacing"/>
        <w:ind w:left="-709" w:right="-1039"/>
        <w:jc w:val="both"/>
        <w:rPr>
          <w:rFonts w:ascii="Arial" w:hAnsi="Arial" w:cs="Arial"/>
          <w:noProof/>
        </w:rPr>
      </w:pPr>
    </w:p>
    <w:p w14:paraId="1D74281A" w14:textId="68881C8F" w:rsidR="00376174" w:rsidRDefault="00CD33D1" w:rsidP="00A864D8">
      <w:pPr>
        <w:pStyle w:val="NoSpacing"/>
        <w:ind w:left="-284" w:right="-330"/>
        <w:jc w:val="both"/>
        <w:rPr>
          <w:rFonts w:ascii="Arial" w:hAnsi="Arial" w:cs="Arial"/>
          <w:noProof/>
        </w:rPr>
      </w:pPr>
      <w:r>
        <w:rPr>
          <w:rFonts w:ascii="Arial" w:hAnsi="Arial" w:cs="Arial"/>
          <w:noProof/>
        </w:rPr>
        <w:drawing>
          <wp:inline distT="0" distB="0" distL="0" distR="0" wp14:anchorId="626A5716" wp14:editId="475C9F07">
            <wp:extent cx="6292850" cy="2997200"/>
            <wp:effectExtent l="0" t="0" r="0" b="0"/>
            <wp:docPr id="2" name="Picture 2" descr="Benchmarking tabl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enchmarking table">
                      <a:extLst>
                        <a:ext uri="{C183D7F6-B498-43B3-948B-1728B52AA6E4}">
                          <adec:decorative xmlns:adec="http://schemas.microsoft.com/office/drawing/2017/decorative" val="0"/>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92850" cy="2997200"/>
                    </a:xfrm>
                    <a:prstGeom prst="rect">
                      <a:avLst/>
                    </a:prstGeom>
                    <a:noFill/>
                    <a:ln>
                      <a:noFill/>
                    </a:ln>
                  </pic:spPr>
                </pic:pic>
              </a:graphicData>
            </a:graphic>
          </wp:inline>
        </w:drawing>
      </w:r>
    </w:p>
    <w:p w14:paraId="0C333B4D" w14:textId="77777777" w:rsidR="009B3922" w:rsidRDefault="009B3922" w:rsidP="00D07B4A">
      <w:pPr>
        <w:pStyle w:val="NoSpacing"/>
        <w:ind w:right="-330"/>
        <w:jc w:val="both"/>
        <w:rPr>
          <w:rFonts w:ascii="Arial" w:hAnsi="Arial" w:cs="Arial"/>
          <w:noProof/>
        </w:rPr>
      </w:pPr>
    </w:p>
    <w:p w14:paraId="2476A1E3" w14:textId="77777777" w:rsidR="009B3922" w:rsidRDefault="009B3922" w:rsidP="00D07B4A">
      <w:pPr>
        <w:pStyle w:val="NoSpacing"/>
        <w:ind w:right="-330"/>
        <w:jc w:val="both"/>
        <w:rPr>
          <w:rFonts w:ascii="Arial" w:hAnsi="Arial" w:cs="Arial"/>
          <w:noProof/>
        </w:rPr>
      </w:pPr>
    </w:p>
    <w:p w14:paraId="762D3BAE" w14:textId="77777777" w:rsidR="009572D1" w:rsidRDefault="009572D1" w:rsidP="00D07B4A">
      <w:pPr>
        <w:pStyle w:val="NoSpacing"/>
        <w:ind w:right="-330"/>
        <w:jc w:val="both"/>
        <w:rPr>
          <w:rFonts w:ascii="Arial" w:hAnsi="Arial" w:cs="Arial"/>
          <w:noProof/>
        </w:rPr>
      </w:pPr>
    </w:p>
    <w:p w14:paraId="40578795" w14:textId="77777777" w:rsidR="009572D1" w:rsidRPr="009572D1" w:rsidRDefault="009572D1" w:rsidP="00D07B4A">
      <w:pPr>
        <w:pStyle w:val="NoSpacing"/>
        <w:ind w:right="-330"/>
        <w:jc w:val="both"/>
        <w:rPr>
          <w:rFonts w:ascii="Arial" w:hAnsi="Arial" w:cs="Arial"/>
          <w:b/>
          <w:bCs/>
          <w:noProof/>
        </w:rPr>
      </w:pPr>
      <w:r w:rsidRPr="009572D1">
        <w:rPr>
          <w:rFonts w:ascii="Arial" w:hAnsi="Arial" w:cs="Arial"/>
          <w:b/>
          <w:bCs/>
          <w:noProof/>
        </w:rPr>
        <w:t>Appendix 2: De</w:t>
      </w:r>
      <w:r w:rsidR="00212454">
        <w:rPr>
          <w:rFonts w:ascii="Arial" w:hAnsi="Arial" w:cs="Arial"/>
          <w:b/>
          <w:bCs/>
          <w:noProof/>
        </w:rPr>
        <w:t xml:space="preserve"> D</w:t>
      </w:r>
      <w:r w:rsidRPr="009572D1">
        <w:rPr>
          <w:rFonts w:ascii="Arial" w:hAnsi="Arial" w:cs="Arial"/>
          <w:b/>
          <w:bCs/>
          <w:noProof/>
        </w:rPr>
        <w:t>elegation 2022</w:t>
      </w:r>
      <w:r w:rsidR="001877E4">
        <w:rPr>
          <w:rFonts w:ascii="Arial" w:hAnsi="Arial" w:cs="Arial"/>
          <w:b/>
          <w:bCs/>
          <w:noProof/>
        </w:rPr>
        <w:t>/</w:t>
      </w:r>
      <w:r w:rsidRPr="009572D1">
        <w:rPr>
          <w:rFonts w:ascii="Arial" w:hAnsi="Arial" w:cs="Arial"/>
          <w:b/>
          <w:bCs/>
          <w:noProof/>
        </w:rPr>
        <w:t>23</w:t>
      </w:r>
      <w:r w:rsidR="001877E4">
        <w:rPr>
          <w:rFonts w:ascii="Arial" w:hAnsi="Arial" w:cs="Arial"/>
          <w:b/>
          <w:bCs/>
          <w:noProof/>
        </w:rPr>
        <w:t xml:space="preserve"> and Comparison with 2021/22</w:t>
      </w:r>
    </w:p>
    <w:p w14:paraId="78F94541" w14:textId="77777777" w:rsidR="00F70BA5" w:rsidRDefault="00F70BA5" w:rsidP="00D07B4A">
      <w:pPr>
        <w:pStyle w:val="NoSpacing"/>
        <w:ind w:right="-330"/>
        <w:jc w:val="both"/>
        <w:rPr>
          <w:rFonts w:ascii="Arial" w:hAnsi="Arial" w:cs="Arial"/>
          <w:noProof/>
        </w:rPr>
      </w:pPr>
    </w:p>
    <w:p w14:paraId="0DE2BE8F" w14:textId="77777777" w:rsidR="00F70BA5" w:rsidRDefault="00F70BA5" w:rsidP="00D07B4A">
      <w:pPr>
        <w:pStyle w:val="NoSpacing"/>
        <w:ind w:right="-330"/>
        <w:jc w:val="both"/>
        <w:rPr>
          <w:rFonts w:ascii="Arial" w:hAnsi="Arial" w:cs="Arial"/>
          <w:noProof/>
        </w:rPr>
      </w:pPr>
    </w:p>
    <w:p w14:paraId="4EB535D0" w14:textId="27FFD3F5" w:rsidR="009B3922" w:rsidRDefault="005C5063" w:rsidP="001877E4">
      <w:pPr>
        <w:pStyle w:val="NoSpacing"/>
        <w:ind w:left="-567" w:right="-330"/>
        <w:jc w:val="both"/>
        <w:rPr>
          <w:rFonts w:ascii="Arial" w:hAnsi="Arial" w:cs="Arial"/>
          <w:noProof/>
        </w:rPr>
      </w:pPr>
      <w:r w:rsidRPr="005C5063">
        <w:rPr>
          <w:rFonts w:ascii="Arial" w:hAnsi="Arial" w:cs="Arial"/>
          <w:noProof/>
        </w:rPr>
        <w:drawing>
          <wp:inline distT="0" distB="0" distL="0" distR="0" wp14:anchorId="1C7329C2" wp14:editId="7DA6CAC7">
            <wp:extent cx="6641238" cy="2152015"/>
            <wp:effectExtent l="0" t="0" r="7620" b="635"/>
            <wp:docPr id="1" name="Picture 1" descr="De Delegation 2022/23 and Comparison with 2021/22 tabl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 Delegation 2022/23 and Comparison with 2021/22 table">
                      <a:extLst>
                        <a:ext uri="{C183D7F6-B498-43B3-948B-1728B52AA6E4}">
                          <adec:decorative xmlns:adec="http://schemas.microsoft.com/office/drawing/2017/decorative" val="0"/>
                        </a:ext>
                      </a:extLst>
                    </pic:cNvPr>
                    <pic:cNvPicPr/>
                  </pic:nvPicPr>
                  <pic:blipFill>
                    <a:blip r:embed="rId13"/>
                    <a:stretch>
                      <a:fillRect/>
                    </a:stretch>
                  </pic:blipFill>
                  <pic:spPr>
                    <a:xfrm>
                      <a:off x="0" y="0"/>
                      <a:ext cx="6691420" cy="2168276"/>
                    </a:xfrm>
                    <a:prstGeom prst="rect">
                      <a:avLst/>
                    </a:prstGeom>
                  </pic:spPr>
                </pic:pic>
              </a:graphicData>
            </a:graphic>
          </wp:inline>
        </w:drawing>
      </w:r>
    </w:p>
    <w:p w14:paraId="18DE3971" w14:textId="08C9ACB3" w:rsidR="00920A9D" w:rsidRDefault="00920A9D" w:rsidP="001877E4">
      <w:pPr>
        <w:pStyle w:val="NoSpacing"/>
        <w:ind w:left="-567" w:right="-330"/>
        <w:jc w:val="both"/>
        <w:rPr>
          <w:rFonts w:ascii="Arial" w:hAnsi="Arial" w:cs="Arial"/>
        </w:rPr>
      </w:pPr>
    </w:p>
    <w:p w14:paraId="3BF30161" w14:textId="4ED6AAD7" w:rsidR="00F6449D" w:rsidRPr="000A03C5" w:rsidRDefault="00F6449D" w:rsidP="001877E4">
      <w:pPr>
        <w:pStyle w:val="NoSpacing"/>
        <w:ind w:left="-567" w:right="-330"/>
        <w:jc w:val="both"/>
        <w:rPr>
          <w:rFonts w:ascii="Arial" w:hAnsi="Arial" w:cs="Arial"/>
          <w:sz w:val="20"/>
          <w:szCs w:val="20"/>
        </w:rPr>
      </w:pPr>
      <w:r w:rsidRPr="00F6449D">
        <w:rPr>
          <w:rFonts w:ascii="Arial" w:hAnsi="Arial" w:cs="Arial"/>
        </w:rPr>
        <w:t xml:space="preserve">* </w:t>
      </w:r>
      <w:r w:rsidRPr="00F6449D">
        <w:rPr>
          <w:rFonts w:ascii="Arial" w:hAnsi="Arial" w:cs="Arial"/>
          <w:sz w:val="20"/>
          <w:szCs w:val="20"/>
        </w:rPr>
        <w:t>Source for 2021/22 data: School Forum 19th November 2020 "De Delegated Budgets - Nov 20 SF Appendix 2"</w:t>
      </w:r>
    </w:p>
    <w:p w14:paraId="537BBDE1" w14:textId="77777777" w:rsidR="00F6449D" w:rsidRPr="000A03C5" w:rsidRDefault="00F6449D" w:rsidP="001877E4">
      <w:pPr>
        <w:pStyle w:val="NoSpacing"/>
        <w:ind w:left="-567" w:right="-330"/>
        <w:jc w:val="both"/>
        <w:rPr>
          <w:rFonts w:ascii="Arial" w:hAnsi="Arial" w:cs="Arial"/>
          <w:sz w:val="20"/>
          <w:szCs w:val="20"/>
        </w:rPr>
      </w:pPr>
    </w:p>
    <w:p w14:paraId="204E6577" w14:textId="49AB81C7" w:rsidR="009A18E5" w:rsidRPr="00920A9D" w:rsidRDefault="00920A9D" w:rsidP="00212454">
      <w:pPr>
        <w:pStyle w:val="NoSpacing"/>
        <w:ind w:left="-567" w:right="-330"/>
        <w:jc w:val="both"/>
        <w:rPr>
          <w:rFonts w:ascii="Arial" w:hAnsi="Arial" w:cs="Arial"/>
          <w:sz w:val="20"/>
          <w:szCs w:val="20"/>
        </w:rPr>
      </w:pPr>
      <w:r w:rsidRPr="00920A9D">
        <w:rPr>
          <w:rFonts w:ascii="Arial" w:hAnsi="Arial" w:cs="Arial"/>
          <w:sz w:val="20"/>
          <w:szCs w:val="20"/>
        </w:rPr>
        <w:t xml:space="preserve">Note: </w:t>
      </w:r>
      <w:r w:rsidR="00212454">
        <w:rPr>
          <w:rFonts w:ascii="Arial" w:hAnsi="Arial" w:cs="Arial"/>
          <w:sz w:val="20"/>
          <w:szCs w:val="20"/>
        </w:rPr>
        <w:t>The total amount is based on APT (Authority Proforma Tool</w:t>
      </w:r>
      <w:r w:rsidR="002727BD">
        <w:rPr>
          <w:rFonts w:ascii="Arial" w:hAnsi="Arial" w:cs="Arial"/>
          <w:sz w:val="20"/>
          <w:szCs w:val="20"/>
        </w:rPr>
        <w:t>)</w:t>
      </w:r>
      <w:r w:rsidR="00212454">
        <w:rPr>
          <w:rFonts w:ascii="Arial" w:hAnsi="Arial" w:cs="Arial"/>
          <w:sz w:val="20"/>
          <w:szCs w:val="20"/>
        </w:rPr>
        <w:t>. T</w:t>
      </w:r>
      <w:r w:rsidRPr="00920A9D">
        <w:rPr>
          <w:rFonts w:ascii="Arial" w:hAnsi="Arial" w:cs="Arial"/>
          <w:sz w:val="20"/>
          <w:szCs w:val="20"/>
        </w:rPr>
        <w:t xml:space="preserve">here is </w:t>
      </w:r>
      <w:r w:rsidR="00FA2260">
        <w:rPr>
          <w:rFonts w:ascii="Arial" w:hAnsi="Arial" w:cs="Arial"/>
          <w:sz w:val="20"/>
          <w:szCs w:val="20"/>
        </w:rPr>
        <w:t xml:space="preserve">a </w:t>
      </w:r>
      <w:r w:rsidRPr="00920A9D">
        <w:rPr>
          <w:rFonts w:ascii="Arial" w:hAnsi="Arial" w:cs="Arial"/>
          <w:sz w:val="20"/>
          <w:szCs w:val="20"/>
        </w:rPr>
        <w:t xml:space="preserve">minor difference between </w:t>
      </w:r>
      <w:r w:rsidR="002727BD">
        <w:rPr>
          <w:rFonts w:ascii="Arial" w:hAnsi="Arial" w:cs="Arial"/>
          <w:sz w:val="20"/>
          <w:szCs w:val="20"/>
        </w:rPr>
        <w:t>2022/</w:t>
      </w:r>
      <w:r w:rsidRPr="00920A9D">
        <w:rPr>
          <w:rFonts w:ascii="Arial" w:hAnsi="Arial" w:cs="Arial"/>
          <w:sz w:val="20"/>
          <w:szCs w:val="20"/>
        </w:rPr>
        <w:t xml:space="preserve">23 APT total </w:t>
      </w:r>
      <w:r w:rsidR="00212454">
        <w:rPr>
          <w:rFonts w:ascii="Arial" w:hAnsi="Arial" w:cs="Arial"/>
          <w:sz w:val="20"/>
          <w:szCs w:val="20"/>
        </w:rPr>
        <w:t xml:space="preserve">de </w:t>
      </w:r>
      <w:r w:rsidRPr="00920A9D">
        <w:rPr>
          <w:rFonts w:ascii="Arial" w:hAnsi="Arial" w:cs="Arial"/>
          <w:sz w:val="20"/>
          <w:szCs w:val="20"/>
        </w:rPr>
        <w:t xml:space="preserve">delegation and calculation by rate x NOR. It is </w:t>
      </w:r>
      <w:r w:rsidR="00212454">
        <w:rPr>
          <w:rFonts w:ascii="Arial" w:hAnsi="Arial" w:cs="Arial"/>
          <w:sz w:val="20"/>
          <w:szCs w:val="20"/>
        </w:rPr>
        <w:t>a</w:t>
      </w:r>
      <w:r w:rsidRPr="00920A9D">
        <w:rPr>
          <w:rFonts w:ascii="Arial" w:hAnsi="Arial" w:cs="Arial"/>
          <w:sz w:val="20"/>
          <w:szCs w:val="20"/>
        </w:rPr>
        <w:t xml:space="preserve"> rounding difference</w:t>
      </w:r>
      <w:r w:rsidR="00212454">
        <w:rPr>
          <w:rFonts w:ascii="Arial" w:hAnsi="Arial" w:cs="Arial"/>
          <w:sz w:val="20"/>
          <w:szCs w:val="20"/>
        </w:rPr>
        <w:t>.</w:t>
      </w:r>
    </w:p>
    <w:sectPr w:rsidR="009A18E5" w:rsidRPr="00920A9D" w:rsidSect="005E625F">
      <w:footerReference w:type="default" r:id="rId14"/>
      <w:pgSz w:w="11906" w:h="16838"/>
      <w:pgMar w:top="107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11C79" w14:textId="77777777" w:rsidR="00A20ACA" w:rsidRDefault="00A20ACA" w:rsidP="00714D13">
      <w:r>
        <w:separator/>
      </w:r>
    </w:p>
  </w:endnote>
  <w:endnote w:type="continuationSeparator" w:id="0">
    <w:p w14:paraId="10E939AA" w14:textId="77777777" w:rsidR="00A20ACA" w:rsidRDefault="00A20ACA" w:rsidP="00714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41F30" w14:textId="77777777" w:rsidR="00B93682" w:rsidRDefault="00B93682" w:rsidP="005E625F">
    <w:pPr>
      <w:pStyle w:val="Footer"/>
      <w:jc w:val="center"/>
    </w:pPr>
    <w:r>
      <w:t xml:space="preserve">Page </w:t>
    </w:r>
    <w:r>
      <w:fldChar w:fldCharType="begin"/>
    </w:r>
    <w:r>
      <w:instrText xml:space="preserve"> PAGE </w:instrText>
    </w:r>
    <w:r>
      <w:fldChar w:fldCharType="separate"/>
    </w:r>
    <w:r w:rsidR="004A070B">
      <w:rPr>
        <w:noProof/>
      </w:rPr>
      <w:t>2</w:t>
    </w:r>
    <w:r>
      <w:fldChar w:fldCharType="end"/>
    </w:r>
    <w:r>
      <w:t xml:space="preserve"> of </w:t>
    </w:r>
    <w:fldSimple w:instr=" NUMPAGES ">
      <w:r w:rsidR="004A070B">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697B6C" w14:textId="77777777" w:rsidR="00A20ACA" w:rsidRDefault="00A20ACA" w:rsidP="00714D13">
      <w:r>
        <w:separator/>
      </w:r>
    </w:p>
  </w:footnote>
  <w:footnote w:type="continuationSeparator" w:id="0">
    <w:p w14:paraId="0E489F7D" w14:textId="77777777" w:rsidR="00A20ACA" w:rsidRDefault="00A20ACA" w:rsidP="00714D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738E9"/>
    <w:multiLevelType w:val="hybridMultilevel"/>
    <w:tmpl w:val="EAFC6F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1391335"/>
    <w:multiLevelType w:val="hybridMultilevel"/>
    <w:tmpl w:val="C6006E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D250BC"/>
    <w:multiLevelType w:val="multilevel"/>
    <w:tmpl w:val="07DE2992"/>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BE4F07"/>
    <w:multiLevelType w:val="multilevel"/>
    <w:tmpl w:val="0E60D160"/>
    <w:lvl w:ilvl="0">
      <w:start w:val="3"/>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5318C9"/>
    <w:multiLevelType w:val="multilevel"/>
    <w:tmpl w:val="02BC582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CF40D6B"/>
    <w:multiLevelType w:val="hybridMultilevel"/>
    <w:tmpl w:val="206C2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090D15"/>
    <w:multiLevelType w:val="hybridMultilevel"/>
    <w:tmpl w:val="2644807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193F2F4A"/>
    <w:multiLevelType w:val="hybridMultilevel"/>
    <w:tmpl w:val="AF4686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3D56ACF"/>
    <w:multiLevelType w:val="hybridMultilevel"/>
    <w:tmpl w:val="C60E9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ED1B22"/>
    <w:multiLevelType w:val="hybridMultilevel"/>
    <w:tmpl w:val="53344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9517CF"/>
    <w:multiLevelType w:val="hybridMultilevel"/>
    <w:tmpl w:val="67B02966"/>
    <w:lvl w:ilvl="0" w:tplc="E02224A6">
      <w:start w:val="3"/>
      <w:numFmt w:val="decimal"/>
      <w:lvlText w:val="%1)"/>
      <w:lvlJc w:val="left"/>
      <w:pPr>
        <w:ind w:left="107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8D36211"/>
    <w:multiLevelType w:val="hybridMultilevel"/>
    <w:tmpl w:val="9AAEA6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107497"/>
    <w:multiLevelType w:val="hybridMultilevel"/>
    <w:tmpl w:val="094883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114135D"/>
    <w:multiLevelType w:val="hybridMultilevel"/>
    <w:tmpl w:val="F5E04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CA28A8"/>
    <w:multiLevelType w:val="hybridMultilevel"/>
    <w:tmpl w:val="E1F2B674"/>
    <w:lvl w:ilvl="0" w:tplc="FD8C72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916F1E"/>
    <w:multiLevelType w:val="hybridMultilevel"/>
    <w:tmpl w:val="62527B8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6" w15:restartNumberingAfterBreak="0">
    <w:nsid w:val="34642C60"/>
    <w:multiLevelType w:val="hybridMultilevel"/>
    <w:tmpl w:val="65ACEA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D34B65"/>
    <w:multiLevelType w:val="hybridMultilevel"/>
    <w:tmpl w:val="716CA0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1E0516"/>
    <w:multiLevelType w:val="hybridMultilevel"/>
    <w:tmpl w:val="A30EE0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6F1608"/>
    <w:multiLevelType w:val="hybridMultilevel"/>
    <w:tmpl w:val="203E36A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7B529C0"/>
    <w:multiLevelType w:val="hybridMultilevel"/>
    <w:tmpl w:val="DA7A2A04"/>
    <w:lvl w:ilvl="0" w:tplc="BBBED8EC">
      <w:start w:val="1"/>
      <w:numFmt w:val="bullet"/>
      <w:pStyle w:val="Dept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Marlett" w:hAnsi="Marlett"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Marlett" w:hAnsi="Marlett"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Marlett" w:hAnsi="Marlett" w:hint="default"/>
      </w:rPr>
    </w:lvl>
  </w:abstractNum>
  <w:abstractNum w:abstractNumId="21" w15:restartNumberingAfterBreak="0">
    <w:nsid w:val="49440103"/>
    <w:multiLevelType w:val="hybridMultilevel"/>
    <w:tmpl w:val="70864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3D3C12"/>
    <w:multiLevelType w:val="hybridMultilevel"/>
    <w:tmpl w:val="E912E062"/>
    <w:lvl w:ilvl="0" w:tplc="4B6A91B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54200C6"/>
    <w:multiLevelType w:val="hybridMultilevel"/>
    <w:tmpl w:val="BB68F9EA"/>
    <w:lvl w:ilvl="0" w:tplc="08090001">
      <w:start w:val="1"/>
      <w:numFmt w:val="bullet"/>
      <w:lvlText w:val=""/>
      <w:lvlJc w:val="left"/>
      <w:pPr>
        <w:ind w:left="2140" w:hanging="360"/>
      </w:pPr>
      <w:rPr>
        <w:rFonts w:ascii="Symbol" w:hAnsi="Symbol" w:hint="default"/>
      </w:rPr>
    </w:lvl>
    <w:lvl w:ilvl="1" w:tplc="08090003" w:tentative="1">
      <w:start w:val="1"/>
      <w:numFmt w:val="bullet"/>
      <w:lvlText w:val="o"/>
      <w:lvlJc w:val="left"/>
      <w:pPr>
        <w:ind w:left="2860" w:hanging="360"/>
      </w:pPr>
      <w:rPr>
        <w:rFonts w:ascii="Courier New" w:hAnsi="Courier New" w:cs="Courier New" w:hint="default"/>
      </w:rPr>
    </w:lvl>
    <w:lvl w:ilvl="2" w:tplc="08090005" w:tentative="1">
      <w:start w:val="1"/>
      <w:numFmt w:val="bullet"/>
      <w:lvlText w:val=""/>
      <w:lvlJc w:val="left"/>
      <w:pPr>
        <w:ind w:left="3580" w:hanging="360"/>
      </w:pPr>
      <w:rPr>
        <w:rFonts w:ascii="Wingdings" w:hAnsi="Wingdings" w:hint="default"/>
      </w:rPr>
    </w:lvl>
    <w:lvl w:ilvl="3" w:tplc="08090001" w:tentative="1">
      <w:start w:val="1"/>
      <w:numFmt w:val="bullet"/>
      <w:lvlText w:val=""/>
      <w:lvlJc w:val="left"/>
      <w:pPr>
        <w:ind w:left="4300" w:hanging="360"/>
      </w:pPr>
      <w:rPr>
        <w:rFonts w:ascii="Symbol" w:hAnsi="Symbol" w:hint="default"/>
      </w:rPr>
    </w:lvl>
    <w:lvl w:ilvl="4" w:tplc="08090003" w:tentative="1">
      <w:start w:val="1"/>
      <w:numFmt w:val="bullet"/>
      <w:lvlText w:val="o"/>
      <w:lvlJc w:val="left"/>
      <w:pPr>
        <w:ind w:left="5020" w:hanging="360"/>
      </w:pPr>
      <w:rPr>
        <w:rFonts w:ascii="Courier New" w:hAnsi="Courier New" w:cs="Courier New" w:hint="default"/>
      </w:rPr>
    </w:lvl>
    <w:lvl w:ilvl="5" w:tplc="08090005" w:tentative="1">
      <w:start w:val="1"/>
      <w:numFmt w:val="bullet"/>
      <w:lvlText w:val=""/>
      <w:lvlJc w:val="left"/>
      <w:pPr>
        <w:ind w:left="5740" w:hanging="360"/>
      </w:pPr>
      <w:rPr>
        <w:rFonts w:ascii="Wingdings" w:hAnsi="Wingdings" w:hint="default"/>
      </w:rPr>
    </w:lvl>
    <w:lvl w:ilvl="6" w:tplc="08090001" w:tentative="1">
      <w:start w:val="1"/>
      <w:numFmt w:val="bullet"/>
      <w:lvlText w:val=""/>
      <w:lvlJc w:val="left"/>
      <w:pPr>
        <w:ind w:left="6460" w:hanging="360"/>
      </w:pPr>
      <w:rPr>
        <w:rFonts w:ascii="Symbol" w:hAnsi="Symbol" w:hint="default"/>
      </w:rPr>
    </w:lvl>
    <w:lvl w:ilvl="7" w:tplc="08090003" w:tentative="1">
      <w:start w:val="1"/>
      <w:numFmt w:val="bullet"/>
      <w:lvlText w:val="o"/>
      <w:lvlJc w:val="left"/>
      <w:pPr>
        <w:ind w:left="7180" w:hanging="360"/>
      </w:pPr>
      <w:rPr>
        <w:rFonts w:ascii="Courier New" w:hAnsi="Courier New" w:cs="Courier New" w:hint="default"/>
      </w:rPr>
    </w:lvl>
    <w:lvl w:ilvl="8" w:tplc="08090005" w:tentative="1">
      <w:start w:val="1"/>
      <w:numFmt w:val="bullet"/>
      <w:lvlText w:val=""/>
      <w:lvlJc w:val="left"/>
      <w:pPr>
        <w:ind w:left="7900" w:hanging="360"/>
      </w:pPr>
      <w:rPr>
        <w:rFonts w:ascii="Wingdings" w:hAnsi="Wingdings" w:hint="default"/>
      </w:rPr>
    </w:lvl>
  </w:abstractNum>
  <w:abstractNum w:abstractNumId="24" w15:restartNumberingAfterBreak="0">
    <w:nsid w:val="56AA73CD"/>
    <w:multiLevelType w:val="hybridMultilevel"/>
    <w:tmpl w:val="22D6C4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9666310"/>
    <w:multiLevelType w:val="hybridMultilevel"/>
    <w:tmpl w:val="65ACEA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9E91B55"/>
    <w:multiLevelType w:val="hybridMultilevel"/>
    <w:tmpl w:val="65ACEA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F975AC"/>
    <w:multiLevelType w:val="hybridMultilevel"/>
    <w:tmpl w:val="65ACEA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F40D5E"/>
    <w:multiLevelType w:val="hybridMultilevel"/>
    <w:tmpl w:val="2582559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5192B8E"/>
    <w:multiLevelType w:val="hybridMultilevel"/>
    <w:tmpl w:val="078AA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435671"/>
    <w:multiLevelType w:val="hybridMultilevel"/>
    <w:tmpl w:val="DB3641F2"/>
    <w:lvl w:ilvl="0" w:tplc="4B4AAC5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91D577D"/>
    <w:multiLevelType w:val="hybridMultilevel"/>
    <w:tmpl w:val="65ACEA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4261EAF"/>
    <w:multiLevelType w:val="hybridMultilevel"/>
    <w:tmpl w:val="E3EEC3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7030C96"/>
    <w:multiLevelType w:val="hybridMultilevel"/>
    <w:tmpl w:val="450C2A0E"/>
    <w:lvl w:ilvl="0" w:tplc="9E04931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777D3C56"/>
    <w:multiLevelType w:val="hybridMultilevel"/>
    <w:tmpl w:val="022EE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123BD8"/>
    <w:multiLevelType w:val="hybridMultilevel"/>
    <w:tmpl w:val="CC2663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C3E24DD"/>
    <w:multiLevelType w:val="hybridMultilevel"/>
    <w:tmpl w:val="CB0AB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3"/>
  </w:num>
  <w:num w:numId="3">
    <w:abstractNumId w:val="22"/>
  </w:num>
  <w:num w:numId="4">
    <w:abstractNumId w:val="1"/>
  </w:num>
  <w:num w:numId="5">
    <w:abstractNumId w:val="3"/>
  </w:num>
  <w:num w:numId="6">
    <w:abstractNumId w:val="30"/>
  </w:num>
  <w:num w:numId="7">
    <w:abstractNumId w:val="10"/>
  </w:num>
  <w:num w:numId="8">
    <w:abstractNumId w:val="2"/>
  </w:num>
  <w:num w:numId="9">
    <w:abstractNumId w:val="25"/>
  </w:num>
  <w:num w:numId="10">
    <w:abstractNumId w:val="14"/>
  </w:num>
  <w:num w:numId="11">
    <w:abstractNumId w:val="24"/>
  </w:num>
  <w:num w:numId="12">
    <w:abstractNumId w:val="5"/>
  </w:num>
  <w:num w:numId="13">
    <w:abstractNumId w:val="27"/>
  </w:num>
  <w:num w:numId="14">
    <w:abstractNumId w:val="16"/>
  </w:num>
  <w:num w:numId="15">
    <w:abstractNumId w:val="6"/>
  </w:num>
  <w:num w:numId="16">
    <w:abstractNumId w:val="26"/>
  </w:num>
  <w:num w:numId="17">
    <w:abstractNumId w:val="31"/>
  </w:num>
  <w:num w:numId="18">
    <w:abstractNumId w:val="9"/>
  </w:num>
  <w:num w:numId="19">
    <w:abstractNumId w:val="19"/>
  </w:num>
  <w:num w:numId="20">
    <w:abstractNumId w:val="34"/>
  </w:num>
  <w:num w:numId="21">
    <w:abstractNumId w:val="11"/>
  </w:num>
  <w:num w:numId="22">
    <w:abstractNumId w:val="7"/>
  </w:num>
  <w:num w:numId="23">
    <w:abstractNumId w:val="12"/>
  </w:num>
  <w:num w:numId="24">
    <w:abstractNumId w:val="20"/>
  </w:num>
  <w:num w:numId="25">
    <w:abstractNumId w:val="23"/>
  </w:num>
  <w:num w:numId="26">
    <w:abstractNumId w:val="0"/>
  </w:num>
  <w:num w:numId="27">
    <w:abstractNumId w:val="17"/>
  </w:num>
  <w:num w:numId="28">
    <w:abstractNumId w:val="18"/>
  </w:num>
  <w:num w:numId="29">
    <w:abstractNumId w:val="28"/>
  </w:num>
  <w:num w:numId="30">
    <w:abstractNumId w:val="15"/>
  </w:num>
  <w:num w:numId="31">
    <w:abstractNumId w:val="8"/>
  </w:num>
  <w:num w:numId="32">
    <w:abstractNumId w:val="36"/>
  </w:num>
  <w:num w:numId="33">
    <w:abstractNumId w:val="35"/>
  </w:num>
  <w:num w:numId="34">
    <w:abstractNumId w:val="32"/>
  </w:num>
  <w:num w:numId="35">
    <w:abstractNumId w:val="13"/>
  </w:num>
  <w:num w:numId="36">
    <w:abstractNumId w:val="29"/>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O6FjuPRBHRcRfHKpYh6Z/JKUDJNylp9a9FQxuRQA8CWmDBMiDX5/ReP7heFMvLRg"/>
  </w:docVars>
  <w:rsids>
    <w:rsidRoot w:val="008544CD"/>
    <w:rsid w:val="00025D18"/>
    <w:rsid w:val="00041ADC"/>
    <w:rsid w:val="00051619"/>
    <w:rsid w:val="00057C6A"/>
    <w:rsid w:val="00064120"/>
    <w:rsid w:val="00092544"/>
    <w:rsid w:val="000A03C5"/>
    <w:rsid w:val="000A5FF5"/>
    <w:rsid w:val="000D17D0"/>
    <w:rsid w:val="000D392E"/>
    <w:rsid w:val="000F301E"/>
    <w:rsid w:val="001003B8"/>
    <w:rsid w:val="00112C51"/>
    <w:rsid w:val="00125521"/>
    <w:rsid w:val="0012645B"/>
    <w:rsid w:val="00133940"/>
    <w:rsid w:val="00135BA9"/>
    <w:rsid w:val="00171F66"/>
    <w:rsid w:val="001768C6"/>
    <w:rsid w:val="00181CEF"/>
    <w:rsid w:val="00185B5D"/>
    <w:rsid w:val="001877E4"/>
    <w:rsid w:val="00193FEA"/>
    <w:rsid w:val="001C3A3F"/>
    <w:rsid w:val="001C4B5D"/>
    <w:rsid w:val="001D76EC"/>
    <w:rsid w:val="001E623B"/>
    <w:rsid w:val="00212454"/>
    <w:rsid w:val="0021662C"/>
    <w:rsid w:val="002174F2"/>
    <w:rsid w:val="00223B04"/>
    <w:rsid w:val="00224247"/>
    <w:rsid w:val="00243C70"/>
    <w:rsid w:val="00251C1A"/>
    <w:rsid w:val="002727BD"/>
    <w:rsid w:val="00272BE1"/>
    <w:rsid w:val="00277D59"/>
    <w:rsid w:val="002C0D51"/>
    <w:rsid w:val="002C5061"/>
    <w:rsid w:val="002D2C77"/>
    <w:rsid w:val="0030665F"/>
    <w:rsid w:val="0031142A"/>
    <w:rsid w:val="00314720"/>
    <w:rsid w:val="003343B9"/>
    <w:rsid w:val="003503FC"/>
    <w:rsid w:val="00357B4B"/>
    <w:rsid w:val="00376174"/>
    <w:rsid w:val="00384FD8"/>
    <w:rsid w:val="003864D2"/>
    <w:rsid w:val="003914B2"/>
    <w:rsid w:val="0039158A"/>
    <w:rsid w:val="00394B37"/>
    <w:rsid w:val="003974FB"/>
    <w:rsid w:val="003C5C4E"/>
    <w:rsid w:val="003F12CF"/>
    <w:rsid w:val="003F2824"/>
    <w:rsid w:val="004032B8"/>
    <w:rsid w:val="00412CB1"/>
    <w:rsid w:val="0042387B"/>
    <w:rsid w:val="00426318"/>
    <w:rsid w:val="00431EE3"/>
    <w:rsid w:val="004323CD"/>
    <w:rsid w:val="00437A1D"/>
    <w:rsid w:val="0044212B"/>
    <w:rsid w:val="004517A7"/>
    <w:rsid w:val="00472B17"/>
    <w:rsid w:val="004753F4"/>
    <w:rsid w:val="00491CFA"/>
    <w:rsid w:val="00494A9D"/>
    <w:rsid w:val="004A070B"/>
    <w:rsid w:val="004D10C6"/>
    <w:rsid w:val="004D26D8"/>
    <w:rsid w:val="004D59E1"/>
    <w:rsid w:val="004D626A"/>
    <w:rsid w:val="004E5E16"/>
    <w:rsid w:val="004F29D1"/>
    <w:rsid w:val="004F40BD"/>
    <w:rsid w:val="005052AA"/>
    <w:rsid w:val="0051297A"/>
    <w:rsid w:val="00525D4A"/>
    <w:rsid w:val="00583E05"/>
    <w:rsid w:val="005A5FAC"/>
    <w:rsid w:val="005A6602"/>
    <w:rsid w:val="005B787B"/>
    <w:rsid w:val="005C07B5"/>
    <w:rsid w:val="005C5063"/>
    <w:rsid w:val="005E1B5E"/>
    <w:rsid w:val="005E5179"/>
    <w:rsid w:val="005E625F"/>
    <w:rsid w:val="005F26ED"/>
    <w:rsid w:val="005F4807"/>
    <w:rsid w:val="0061434E"/>
    <w:rsid w:val="00627C70"/>
    <w:rsid w:val="00651CBC"/>
    <w:rsid w:val="00652D91"/>
    <w:rsid w:val="00652FC1"/>
    <w:rsid w:val="0065341E"/>
    <w:rsid w:val="00653FC0"/>
    <w:rsid w:val="0069367A"/>
    <w:rsid w:val="006A6A9F"/>
    <w:rsid w:val="006B1DA1"/>
    <w:rsid w:val="006B1E5E"/>
    <w:rsid w:val="006C52BF"/>
    <w:rsid w:val="006E04C9"/>
    <w:rsid w:val="006E78FC"/>
    <w:rsid w:val="00707E10"/>
    <w:rsid w:val="00711ACE"/>
    <w:rsid w:val="00714D13"/>
    <w:rsid w:val="00724BB5"/>
    <w:rsid w:val="00725156"/>
    <w:rsid w:val="00727846"/>
    <w:rsid w:val="0073164E"/>
    <w:rsid w:val="00734461"/>
    <w:rsid w:val="0076461C"/>
    <w:rsid w:val="007741C3"/>
    <w:rsid w:val="007744B7"/>
    <w:rsid w:val="00786D9D"/>
    <w:rsid w:val="007870EE"/>
    <w:rsid w:val="0079049C"/>
    <w:rsid w:val="00790662"/>
    <w:rsid w:val="00797BC3"/>
    <w:rsid w:val="007A4BD4"/>
    <w:rsid w:val="007D6F1F"/>
    <w:rsid w:val="007E0684"/>
    <w:rsid w:val="007E696A"/>
    <w:rsid w:val="007F448F"/>
    <w:rsid w:val="008130A8"/>
    <w:rsid w:val="00830FBD"/>
    <w:rsid w:val="0083146A"/>
    <w:rsid w:val="008402F7"/>
    <w:rsid w:val="008416C3"/>
    <w:rsid w:val="00843AA9"/>
    <w:rsid w:val="00844750"/>
    <w:rsid w:val="008544CD"/>
    <w:rsid w:val="00855290"/>
    <w:rsid w:val="00876C7C"/>
    <w:rsid w:val="008D1032"/>
    <w:rsid w:val="008D558C"/>
    <w:rsid w:val="008E1797"/>
    <w:rsid w:val="008E310D"/>
    <w:rsid w:val="008F2903"/>
    <w:rsid w:val="008F4028"/>
    <w:rsid w:val="008F6009"/>
    <w:rsid w:val="008F6346"/>
    <w:rsid w:val="008F6F91"/>
    <w:rsid w:val="00905D39"/>
    <w:rsid w:val="00920A9D"/>
    <w:rsid w:val="0092499B"/>
    <w:rsid w:val="009321D2"/>
    <w:rsid w:val="00935D50"/>
    <w:rsid w:val="009424B4"/>
    <w:rsid w:val="0094361D"/>
    <w:rsid w:val="009572D1"/>
    <w:rsid w:val="00961380"/>
    <w:rsid w:val="00961A24"/>
    <w:rsid w:val="00984A78"/>
    <w:rsid w:val="00985ACC"/>
    <w:rsid w:val="00996B06"/>
    <w:rsid w:val="009A18E5"/>
    <w:rsid w:val="009B3922"/>
    <w:rsid w:val="009D5F0B"/>
    <w:rsid w:val="009E595A"/>
    <w:rsid w:val="00A2008B"/>
    <w:rsid w:val="00A20ACA"/>
    <w:rsid w:val="00A26A72"/>
    <w:rsid w:val="00A3522F"/>
    <w:rsid w:val="00A472DD"/>
    <w:rsid w:val="00A477E5"/>
    <w:rsid w:val="00A600E8"/>
    <w:rsid w:val="00A71094"/>
    <w:rsid w:val="00A7543E"/>
    <w:rsid w:val="00A769DB"/>
    <w:rsid w:val="00A855E7"/>
    <w:rsid w:val="00A864D8"/>
    <w:rsid w:val="00A91BEC"/>
    <w:rsid w:val="00AA5198"/>
    <w:rsid w:val="00AD2E72"/>
    <w:rsid w:val="00AD435B"/>
    <w:rsid w:val="00AE7F12"/>
    <w:rsid w:val="00AF0AF3"/>
    <w:rsid w:val="00AF66C8"/>
    <w:rsid w:val="00AF7912"/>
    <w:rsid w:val="00B12EB0"/>
    <w:rsid w:val="00B13340"/>
    <w:rsid w:val="00B13628"/>
    <w:rsid w:val="00B14E8F"/>
    <w:rsid w:val="00B2542D"/>
    <w:rsid w:val="00B33074"/>
    <w:rsid w:val="00B40620"/>
    <w:rsid w:val="00B65B7C"/>
    <w:rsid w:val="00B66185"/>
    <w:rsid w:val="00B71C72"/>
    <w:rsid w:val="00B93682"/>
    <w:rsid w:val="00B93A22"/>
    <w:rsid w:val="00BA37A6"/>
    <w:rsid w:val="00BB1D25"/>
    <w:rsid w:val="00BB1EC4"/>
    <w:rsid w:val="00BB3A27"/>
    <w:rsid w:val="00BC3206"/>
    <w:rsid w:val="00BF0116"/>
    <w:rsid w:val="00BF2AF0"/>
    <w:rsid w:val="00C27E20"/>
    <w:rsid w:val="00C360A7"/>
    <w:rsid w:val="00C360EF"/>
    <w:rsid w:val="00C377CF"/>
    <w:rsid w:val="00C4076B"/>
    <w:rsid w:val="00C4615B"/>
    <w:rsid w:val="00C5761A"/>
    <w:rsid w:val="00C57798"/>
    <w:rsid w:val="00C6338F"/>
    <w:rsid w:val="00C766D7"/>
    <w:rsid w:val="00C91997"/>
    <w:rsid w:val="00C9428B"/>
    <w:rsid w:val="00CD2944"/>
    <w:rsid w:val="00CD33D1"/>
    <w:rsid w:val="00CE7F5C"/>
    <w:rsid w:val="00D07B4A"/>
    <w:rsid w:val="00D11610"/>
    <w:rsid w:val="00D250AD"/>
    <w:rsid w:val="00D3315C"/>
    <w:rsid w:val="00D37672"/>
    <w:rsid w:val="00D52475"/>
    <w:rsid w:val="00D5718B"/>
    <w:rsid w:val="00D7002F"/>
    <w:rsid w:val="00D81C3B"/>
    <w:rsid w:val="00D9707A"/>
    <w:rsid w:val="00DA1D87"/>
    <w:rsid w:val="00DD761E"/>
    <w:rsid w:val="00DE1147"/>
    <w:rsid w:val="00E0129D"/>
    <w:rsid w:val="00E0515E"/>
    <w:rsid w:val="00E05DCD"/>
    <w:rsid w:val="00E16246"/>
    <w:rsid w:val="00E4568B"/>
    <w:rsid w:val="00E47412"/>
    <w:rsid w:val="00E77F31"/>
    <w:rsid w:val="00E954DF"/>
    <w:rsid w:val="00E973EB"/>
    <w:rsid w:val="00EA0FD6"/>
    <w:rsid w:val="00EA37A7"/>
    <w:rsid w:val="00EA5D6E"/>
    <w:rsid w:val="00EC2BF1"/>
    <w:rsid w:val="00EC624D"/>
    <w:rsid w:val="00ED0C24"/>
    <w:rsid w:val="00ED6FD5"/>
    <w:rsid w:val="00EE0B9A"/>
    <w:rsid w:val="00EE6C56"/>
    <w:rsid w:val="00F078C1"/>
    <w:rsid w:val="00F14F8D"/>
    <w:rsid w:val="00F15C63"/>
    <w:rsid w:val="00F22A18"/>
    <w:rsid w:val="00F24E70"/>
    <w:rsid w:val="00F32E4C"/>
    <w:rsid w:val="00F365C7"/>
    <w:rsid w:val="00F41E98"/>
    <w:rsid w:val="00F6449D"/>
    <w:rsid w:val="00F70BA5"/>
    <w:rsid w:val="00F76FCE"/>
    <w:rsid w:val="00F9065B"/>
    <w:rsid w:val="00F91AFE"/>
    <w:rsid w:val="00F9390E"/>
    <w:rsid w:val="00FA2260"/>
    <w:rsid w:val="00FC1F18"/>
    <w:rsid w:val="00FC3397"/>
    <w:rsid w:val="00FC4A73"/>
    <w:rsid w:val="00FD0C00"/>
    <w:rsid w:val="00FE0F37"/>
    <w:rsid w:val="00FE2697"/>
    <w:rsid w:val="00FE52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75C0714"/>
  <w15:chartTrackingRefBased/>
  <w15:docId w15:val="{3BF58375-B1AD-4D7F-9563-CFDA09DF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F24E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44CD"/>
    <w:rPr>
      <w:sz w:val="22"/>
      <w:szCs w:val="22"/>
      <w:lang w:eastAsia="en-US"/>
    </w:rPr>
  </w:style>
  <w:style w:type="paragraph" w:styleId="ListParagraph">
    <w:name w:val="List Paragraph"/>
    <w:basedOn w:val="Normal"/>
    <w:uiPriority w:val="34"/>
    <w:qFormat/>
    <w:rsid w:val="002C5061"/>
    <w:pPr>
      <w:ind w:left="720"/>
    </w:pPr>
  </w:style>
  <w:style w:type="paragraph" w:styleId="BalloonText">
    <w:name w:val="Balloon Text"/>
    <w:basedOn w:val="Normal"/>
    <w:semiHidden/>
    <w:rsid w:val="008402F7"/>
    <w:rPr>
      <w:rFonts w:ascii="Tahoma" w:hAnsi="Tahoma" w:cs="Tahoma"/>
      <w:sz w:val="16"/>
      <w:szCs w:val="16"/>
    </w:rPr>
  </w:style>
  <w:style w:type="paragraph" w:styleId="Header">
    <w:name w:val="header"/>
    <w:basedOn w:val="Normal"/>
    <w:rsid w:val="005E625F"/>
    <w:pPr>
      <w:tabs>
        <w:tab w:val="center" w:pos="4153"/>
        <w:tab w:val="right" w:pos="8306"/>
      </w:tabs>
    </w:pPr>
  </w:style>
  <w:style w:type="paragraph" w:styleId="Footer">
    <w:name w:val="footer"/>
    <w:basedOn w:val="Normal"/>
    <w:rsid w:val="005E625F"/>
    <w:pPr>
      <w:tabs>
        <w:tab w:val="center" w:pos="4153"/>
        <w:tab w:val="right" w:pos="8306"/>
      </w:tabs>
    </w:pPr>
  </w:style>
  <w:style w:type="character" w:styleId="PageNumber">
    <w:name w:val="page number"/>
    <w:basedOn w:val="DefaultParagraphFont"/>
    <w:rsid w:val="005E625F"/>
  </w:style>
  <w:style w:type="paragraph" w:customStyle="1" w:styleId="DeptBullets">
    <w:name w:val="DeptBullets"/>
    <w:basedOn w:val="Normal"/>
    <w:rsid w:val="00057C6A"/>
    <w:pPr>
      <w:numPr>
        <w:numId w:val="24"/>
      </w:numPr>
      <w:tabs>
        <w:tab w:val="clear" w:pos="720"/>
      </w:tabs>
      <w:overflowPunct w:val="0"/>
      <w:autoSpaceDE w:val="0"/>
      <w:autoSpaceDN w:val="0"/>
      <w:spacing w:after="240" w:line="240" w:lineRule="auto"/>
      <w:ind w:left="360"/>
    </w:pPr>
    <w:rPr>
      <w:rFonts w:ascii="Arial" w:hAnsi="Arial" w:cs="Arial"/>
      <w:sz w:val="24"/>
      <w:szCs w:val="24"/>
    </w:rPr>
  </w:style>
  <w:style w:type="paragraph" w:customStyle="1" w:styleId="Default">
    <w:name w:val="Default"/>
    <w:rsid w:val="005A6602"/>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F91AFE"/>
    <w:pPr>
      <w:spacing w:before="100" w:beforeAutospacing="1" w:after="100" w:afterAutospacing="1" w:line="240" w:lineRule="auto"/>
    </w:pPr>
    <w:rPr>
      <w:rFonts w:ascii="Times New Roman" w:hAnsi="Times New Roman"/>
      <w:sz w:val="24"/>
      <w:szCs w:val="24"/>
      <w:lang w:eastAsia="en-GB"/>
    </w:rPr>
  </w:style>
  <w:style w:type="paragraph" w:styleId="Revision">
    <w:name w:val="Revision"/>
    <w:hidden/>
    <w:uiPriority w:val="99"/>
    <w:semiHidden/>
    <w:rsid w:val="00D52475"/>
    <w:rPr>
      <w:sz w:val="22"/>
      <w:szCs w:val="22"/>
      <w:lang w:eastAsia="en-US"/>
    </w:rPr>
  </w:style>
  <w:style w:type="character" w:styleId="Hyperlink">
    <w:name w:val="Hyperlink"/>
    <w:uiPriority w:val="99"/>
    <w:unhideWhenUsed/>
    <w:rsid w:val="00092544"/>
    <w:rPr>
      <w:color w:val="0000FF"/>
      <w:u w:val="single"/>
    </w:rPr>
  </w:style>
  <w:style w:type="character" w:styleId="UnresolvedMention">
    <w:name w:val="Unresolved Mention"/>
    <w:basedOn w:val="DefaultParagraphFont"/>
    <w:uiPriority w:val="99"/>
    <w:semiHidden/>
    <w:unhideWhenUsed/>
    <w:rsid w:val="00092544"/>
    <w:rPr>
      <w:color w:val="605E5C"/>
      <w:shd w:val="clear" w:color="auto" w:fill="E1DFDD"/>
    </w:rPr>
  </w:style>
  <w:style w:type="character" w:customStyle="1" w:styleId="Heading1Char">
    <w:name w:val="Heading 1 Char"/>
    <w:basedOn w:val="DefaultParagraphFont"/>
    <w:link w:val="Heading1"/>
    <w:uiPriority w:val="9"/>
    <w:rsid w:val="00F24E70"/>
    <w:rPr>
      <w:rFonts w:asciiTheme="majorHAnsi" w:eastAsiaTheme="majorEastAsia" w:hAnsiTheme="majorHAnsi" w:cstheme="majorBidi"/>
      <w:color w:val="2F5496"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49469">
      <w:bodyDiv w:val="1"/>
      <w:marLeft w:val="0"/>
      <w:marRight w:val="0"/>
      <w:marTop w:val="0"/>
      <w:marBottom w:val="0"/>
      <w:divBdr>
        <w:top w:val="none" w:sz="0" w:space="0" w:color="auto"/>
        <w:left w:val="none" w:sz="0" w:space="0" w:color="auto"/>
        <w:bottom w:val="none" w:sz="0" w:space="0" w:color="auto"/>
        <w:right w:val="none" w:sz="0" w:space="0" w:color="auto"/>
      </w:divBdr>
    </w:div>
    <w:div w:id="86775791">
      <w:bodyDiv w:val="1"/>
      <w:marLeft w:val="0"/>
      <w:marRight w:val="0"/>
      <w:marTop w:val="0"/>
      <w:marBottom w:val="0"/>
      <w:divBdr>
        <w:top w:val="none" w:sz="0" w:space="0" w:color="auto"/>
        <w:left w:val="none" w:sz="0" w:space="0" w:color="auto"/>
        <w:bottom w:val="none" w:sz="0" w:space="0" w:color="auto"/>
        <w:right w:val="none" w:sz="0" w:space="0" w:color="auto"/>
      </w:divBdr>
    </w:div>
    <w:div w:id="110782030">
      <w:bodyDiv w:val="1"/>
      <w:marLeft w:val="0"/>
      <w:marRight w:val="0"/>
      <w:marTop w:val="0"/>
      <w:marBottom w:val="0"/>
      <w:divBdr>
        <w:top w:val="none" w:sz="0" w:space="0" w:color="auto"/>
        <w:left w:val="none" w:sz="0" w:space="0" w:color="auto"/>
        <w:bottom w:val="none" w:sz="0" w:space="0" w:color="auto"/>
        <w:right w:val="none" w:sz="0" w:space="0" w:color="auto"/>
      </w:divBdr>
    </w:div>
    <w:div w:id="133837551">
      <w:bodyDiv w:val="1"/>
      <w:marLeft w:val="0"/>
      <w:marRight w:val="0"/>
      <w:marTop w:val="0"/>
      <w:marBottom w:val="0"/>
      <w:divBdr>
        <w:top w:val="none" w:sz="0" w:space="0" w:color="auto"/>
        <w:left w:val="none" w:sz="0" w:space="0" w:color="auto"/>
        <w:bottom w:val="none" w:sz="0" w:space="0" w:color="auto"/>
        <w:right w:val="none" w:sz="0" w:space="0" w:color="auto"/>
      </w:divBdr>
    </w:div>
    <w:div w:id="206113213">
      <w:bodyDiv w:val="1"/>
      <w:marLeft w:val="0"/>
      <w:marRight w:val="0"/>
      <w:marTop w:val="0"/>
      <w:marBottom w:val="0"/>
      <w:divBdr>
        <w:top w:val="none" w:sz="0" w:space="0" w:color="auto"/>
        <w:left w:val="none" w:sz="0" w:space="0" w:color="auto"/>
        <w:bottom w:val="none" w:sz="0" w:space="0" w:color="auto"/>
        <w:right w:val="none" w:sz="0" w:space="0" w:color="auto"/>
      </w:divBdr>
    </w:div>
    <w:div w:id="439643824">
      <w:bodyDiv w:val="1"/>
      <w:marLeft w:val="0"/>
      <w:marRight w:val="0"/>
      <w:marTop w:val="0"/>
      <w:marBottom w:val="0"/>
      <w:divBdr>
        <w:top w:val="none" w:sz="0" w:space="0" w:color="auto"/>
        <w:left w:val="none" w:sz="0" w:space="0" w:color="auto"/>
        <w:bottom w:val="none" w:sz="0" w:space="0" w:color="auto"/>
        <w:right w:val="none" w:sz="0" w:space="0" w:color="auto"/>
      </w:divBdr>
    </w:div>
    <w:div w:id="513303556">
      <w:bodyDiv w:val="1"/>
      <w:marLeft w:val="0"/>
      <w:marRight w:val="0"/>
      <w:marTop w:val="0"/>
      <w:marBottom w:val="0"/>
      <w:divBdr>
        <w:top w:val="none" w:sz="0" w:space="0" w:color="auto"/>
        <w:left w:val="none" w:sz="0" w:space="0" w:color="auto"/>
        <w:bottom w:val="none" w:sz="0" w:space="0" w:color="auto"/>
        <w:right w:val="none" w:sz="0" w:space="0" w:color="auto"/>
      </w:divBdr>
    </w:div>
    <w:div w:id="614555924">
      <w:bodyDiv w:val="1"/>
      <w:marLeft w:val="0"/>
      <w:marRight w:val="0"/>
      <w:marTop w:val="0"/>
      <w:marBottom w:val="0"/>
      <w:divBdr>
        <w:top w:val="none" w:sz="0" w:space="0" w:color="auto"/>
        <w:left w:val="none" w:sz="0" w:space="0" w:color="auto"/>
        <w:bottom w:val="none" w:sz="0" w:space="0" w:color="auto"/>
        <w:right w:val="none" w:sz="0" w:space="0" w:color="auto"/>
      </w:divBdr>
    </w:div>
    <w:div w:id="703866960">
      <w:bodyDiv w:val="1"/>
      <w:marLeft w:val="0"/>
      <w:marRight w:val="0"/>
      <w:marTop w:val="0"/>
      <w:marBottom w:val="0"/>
      <w:divBdr>
        <w:top w:val="none" w:sz="0" w:space="0" w:color="auto"/>
        <w:left w:val="none" w:sz="0" w:space="0" w:color="auto"/>
        <w:bottom w:val="none" w:sz="0" w:space="0" w:color="auto"/>
        <w:right w:val="none" w:sz="0" w:space="0" w:color="auto"/>
      </w:divBdr>
    </w:div>
    <w:div w:id="911743342">
      <w:bodyDiv w:val="1"/>
      <w:marLeft w:val="0"/>
      <w:marRight w:val="0"/>
      <w:marTop w:val="0"/>
      <w:marBottom w:val="0"/>
      <w:divBdr>
        <w:top w:val="none" w:sz="0" w:space="0" w:color="auto"/>
        <w:left w:val="none" w:sz="0" w:space="0" w:color="auto"/>
        <w:bottom w:val="none" w:sz="0" w:space="0" w:color="auto"/>
        <w:right w:val="none" w:sz="0" w:space="0" w:color="auto"/>
      </w:divBdr>
    </w:div>
    <w:div w:id="1080100107">
      <w:bodyDiv w:val="1"/>
      <w:marLeft w:val="0"/>
      <w:marRight w:val="0"/>
      <w:marTop w:val="0"/>
      <w:marBottom w:val="0"/>
      <w:divBdr>
        <w:top w:val="none" w:sz="0" w:space="0" w:color="auto"/>
        <w:left w:val="none" w:sz="0" w:space="0" w:color="auto"/>
        <w:bottom w:val="none" w:sz="0" w:space="0" w:color="auto"/>
        <w:right w:val="none" w:sz="0" w:space="0" w:color="auto"/>
      </w:divBdr>
    </w:div>
    <w:div w:id="1113863989">
      <w:bodyDiv w:val="1"/>
      <w:marLeft w:val="0"/>
      <w:marRight w:val="0"/>
      <w:marTop w:val="0"/>
      <w:marBottom w:val="0"/>
      <w:divBdr>
        <w:top w:val="none" w:sz="0" w:space="0" w:color="auto"/>
        <w:left w:val="none" w:sz="0" w:space="0" w:color="auto"/>
        <w:bottom w:val="none" w:sz="0" w:space="0" w:color="auto"/>
        <w:right w:val="none" w:sz="0" w:space="0" w:color="auto"/>
      </w:divBdr>
    </w:div>
    <w:div w:id="1174689618">
      <w:bodyDiv w:val="1"/>
      <w:marLeft w:val="0"/>
      <w:marRight w:val="0"/>
      <w:marTop w:val="0"/>
      <w:marBottom w:val="0"/>
      <w:divBdr>
        <w:top w:val="none" w:sz="0" w:space="0" w:color="auto"/>
        <w:left w:val="none" w:sz="0" w:space="0" w:color="auto"/>
        <w:bottom w:val="none" w:sz="0" w:space="0" w:color="auto"/>
        <w:right w:val="none" w:sz="0" w:space="0" w:color="auto"/>
      </w:divBdr>
    </w:div>
    <w:div w:id="1190293460">
      <w:bodyDiv w:val="1"/>
      <w:marLeft w:val="0"/>
      <w:marRight w:val="0"/>
      <w:marTop w:val="0"/>
      <w:marBottom w:val="0"/>
      <w:divBdr>
        <w:top w:val="none" w:sz="0" w:space="0" w:color="auto"/>
        <w:left w:val="none" w:sz="0" w:space="0" w:color="auto"/>
        <w:bottom w:val="none" w:sz="0" w:space="0" w:color="auto"/>
        <w:right w:val="none" w:sz="0" w:space="0" w:color="auto"/>
      </w:divBdr>
    </w:div>
    <w:div w:id="1270359059">
      <w:bodyDiv w:val="1"/>
      <w:marLeft w:val="0"/>
      <w:marRight w:val="0"/>
      <w:marTop w:val="0"/>
      <w:marBottom w:val="0"/>
      <w:divBdr>
        <w:top w:val="none" w:sz="0" w:space="0" w:color="auto"/>
        <w:left w:val="none" w:sz="0" w:space="0" w:color="auto"/>
        <w:bottom w:val="none" w:sz="0" w:space="0" w:color="auto"/>
        <w:right w:val="none" w:sz="0" w:space="0" w:color="auto"/>
      </w:divBdr>
    </w:div>
    <w:div w:id="1482848578">
      <w:bodyDiv w:val="1"/>
      <w:marLeft w:val="0"/>
      <w:marRight w:val="0"/>
      <w:marTop w:val="0"/>
      <w:marBottom w:val="0"/>
      <w:divBdr>
        <w:top w:val="none" w:sz="0" w:space="0" w:color="auto"/>
        <w:left w:val="none" w:sz="0" w:space="0" w:color="auto"/>
        <w:bottom w:val="none" w:sz="0" w:space="0" w:color="auto"/>
        <w:right w:val="none" w:sz="0" w:space="0" w:color="auto"/>
      </w:divBdr>
    </w:div>
    <w:div w:id="1574656975">
      <w:bodyDiv w:val="1"/>
      <w:marLeft w:val="0"/>
      <w:marRight w:val="0"/>
      <w:marTop w:val="0"/>
      <w:marBottom w:val="0"/>
      <w:divBdr>
        <w:top w:val="none" w:sz="0" w:space="0" w:color="auto"/>
        <w:left w:val="none" w:sz="0" w:space="0" w:color="auto"/>
        <w:bottom w:val="none" w:sz="0" w:space="0" w:color="auto"/>
        <w:right w:val="none" w:sz="0" w:space="0" w:color="auto"/>
      </w:divBdr>
    </w:div>
    <w:div w:id="1640694880">
      <w:bodyDiv w:val="1"/>
      <w:marLeft w:val="0"/>
      <w:marRight w:val="0"/>
      <w:marTop w:val="0"/>
      <w:marBottom w:val="0"/>
      <w:divBdr>
        <w:top w:val="none" w:sz="0" w:space="0" w:color="auto"/>
        <w:left w:val="none" w:sz="0" w:space="0" w:color="auto"/>
        <w:bottom w:val="none" w:sz="0" w:space="0" w:color="auto"/>
        <w:right w:val="none" w:sz="0" w:space="0" w:color="auto"/>
      </w:divBdr>
    </w:div>
    <w:div w:id="1729913588">
      <w:bodyDiv w:val="1"/>
      <w:marLeft w:val="0"/>
      <w:marRight w:val="0"/>
      <w:marTop w:val="0"/>
      <w:marBottom w:val="0"/>
      <w:divBdr>
        <w:top w:val="none" w:sz="0" w:space="0" w:color="auto"/>
        <w:left w:val="none" w:sz="0" w:space="0" w:color="auto"/>
        <w:bottom w:val="none" w:sz="0" w:space="0" w:color="auto"/>
        <w:right w:val="none" w:sz="0" w:space="0" w:color="auto"/>
      </w:divBdr>
    </w:div>
    <w:div w:id="198843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1618E886DC8248B467BA3D45E4D97C" ma:contentTypeVersion="14" ma:contentTypeDescription="Create a new document." ma:contentTypeScope="" ma:versionID="0a2bffe082351f7b9b4935a19c0f4f60">
  <xsd:schema xmlns:xsd="http://www.w3.org/2001/XMLSchema" xmlns:xs="http://www.w3.org/2001/XMLSchema" xmlns:p="http://schemas.microsoft.com/office/2006/metadata/properties" xmlns:ns3="cf4fbdc1-3486-4097-bd2f-409effe17552" xmlns:ns4="a44b952a-cdab-49d8-a572-68fa4f4b8e9d" targetNamespace="http://schemas.microsoft.com/office/2006/metadata/properties" ma:root="true" ma:fieldsID="8590e9e1f525483fcfa47e8d4792eebe" ns3:_="" ns4:_="">
    <xsd:import namespace="cf4fbdc1-3486-4097-bd2f-409effe17552"/>
    <xsd:import namespace="a44b952a-cdab-49d8-a572-68fa4f4b8e9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fbdc1-3486-4097-bd2f-409effe17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4b952a-cdab-49d8-a572-68fa4f4b8e9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1087DE-C157-4740-BF08-A3C218EFB167}">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a44b952a-cdab-49d8-a572-68fa4f4b8e9d"/>
    <ds:schemaRef ds:uri="cf4fbdc1-3486-4097-bd2f-409effe17552"/>
    <ds:schemaRef ds:uri="http://www.w3.org/XML/1998/namespace"/>
    <ds:schemaRef ds:uri="http://purl.org/dc/dcmitype/"/>
  </ds:schemaRefs>
</ds:datastoreItem>
</file>

<file path=customXml/itemProps2.xml><?xml version="1.0" encoding="utf-8"?>
<ds:datastoreItem xmlns:ds="http://schemas.openxmlformats.org/officeDocument/2006/customXml" ds:itemID="{FB3018F2-D236-46B2-B5FF-33674E40ECB2}">
  <ds:schemaRefs>
    <ds:schemaRef ds:uri="http://schemas.microsoft.com/sharepoint/v3/contenttype/forms"/>
  </ds:schemaRefs>
</ds:datastoreItem>
</file>

<file path=customXml/itemProps3.xml><?xml version="1.0" encoding="utf-8"?>
<ds:datastoreItem xmlns:ds="http://schemas.openxmlformats.org/officeDocument/2006/customXml" ds:itemID="{D01B9E84-DC22-49A8-A0DC-AF45956D4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4fbdc1-3486-4097-bd2f-409effe17552"/>
    <ds:schemaRef ds:uri="a44b952a-cdab-49d8-a572-68fa4f4b8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671</Words>
  <Characters>3726</Characters>
  <Application>Microsoft Office Word</Application>
  <DocSecurity>4</DocSecurity>
  <Lines>95</Lines>
  <Paragraphs>41</Paragraphs>
  <ScaleCrop>false</ScaleCrop>
  <HeadingPairs>
    <vt:vector size="2" baseType="variant">
      <vt:variant>
        <vt:lpstr>Title</vt:lpstr>
      </vt:variant>
      <vt:variant>
        <vt:i4>1</vt:i4>
      </vt:variant>
    </vt:vector>
  </HeadingPairs>
  <TitlesOfParts>
    <vt:vector size="1" baseType="lpstr">
      <vt:lpstr> De Delegated Budgets 2022/23</vt:lpstr>
    </vt:vector>
  </TitlesOfParts>
  <Company>Service Birmingham</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De Delegated Budgets 2022/23</dc:title>
  <dc:subject/>
  <dc:creator>Diane Lewis</dc:creator>
  <cp:keywords/>
  <cp:lastModifiedBy>Vikki Rainbow</cp:lastModifiedBy>
  <cp:revision>2</cp:revision>
  <cp:lastPrinted>2014-04-30T12:04:00Z</cp:lastPrinted>
  <dcterms:created xsi:type="dcterms:W3CDTF">2022-01-18T12:16:00Z</dcterms:created>
  <dcterms:modified xsi:type="dcterms:W3CDTF">2022-01-18T12:16:00Z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0x010100991618E886DC8248B467BA3D45E4D97C</vt:lpwstr>
  </property>
</Properties>
</file>