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05F09" w14:textId="77777777" w:rsidR="004753F4" w:rsidRDefault="008544CD" w:rsidP="00FE0F37">
      <w:r>
        <w:object w:dxaOrig="11970" w:dyaOrig="1815" w14:anchorId="4FD34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pt;height:63pt" o:ole="">
            <v:imagedata r:id="rId11" o:title=""/>
          </v:shape>
          <o:OLEObject Type="Embed" ProgID="Imaging.Document" ShapeID="_x0000_i1025" DrawAspect="Content" ObjectID="_1704013305" r:id="rId12"/>
        </w:object>
      </w:r>
    </w:p>
    <w:p w14:paraId="7B584585" w14:textId="73E57DCA" w:rsidR="008544CD" w:rsidRDefault="008544CD" w:rsidP="008544CD">
      <w:pPr>
        <w:pStyle w:val="NoSpacing"/>
      </w:pPr>
    </w:p>
    <w:p w14:paraId="17591598" w14:textId="77777777" w:rsidR="008B5737" w:rsidRPr="006E40FB" w:rsidRDefault="008B5737" w:rsidP="008B5737">
      <w:pPr>
        <w:pStyle w:val="Heading1"/>
        <w:rPr>
          <w:rStyle w:val="Heading1Char"/>
          <w:rFonts w:ascii="Arial" w:hAnsi="Arial" w:cs="Arial"/>
          <w:b/>
          <w:bCs/>
          <w:color w:val="auto"/>
          <w:sz w:val="22"/>
          <w:szCs w:val="22"/>
        </w:rPr>
      </w:pPr>
      <w:r w:rsidRPr="006E40FB">
        <w:rPr>
          <w:rStyle w:val="Heading1Char"/>
          <w:rFonts w:ascii="Arial" w:hAnsi="Arial" w:cs="Arial"/>
          <w:b/>
          <w:bCs/>
          <w:color w:val="auto"/>
          <w:sz w:val="22"/>
          <w:szCs w:val="22"/>
        </w:rPr>
        <w:t>Mainstream Schools Funding Formula and Minimum Funding Guarantee 2022/23</w:t>
      </w:r>
    </w:p>
    <w:p w14:paraId="046FF555" w14:textId="77777777" w:rsidR="008544CD" w:rsidRDefault="008544CD" w:rsidP="008544CD">
      <w:pPr>
        <w:pStyle w:val="NoSpacing"/>
        <w:rPr>
          <w:rFonts w:ascii="Arial" w:hAnsi="Arial" w:cs="Arial"/>
        </w:rPr>
      </w:pPr>
    </w:p>
    <w:p w14:paraId="562374A7" w14:textId="77777777" w:rsidR="008544CD" w:rsidRPr="006E40FB" w:rsidRDefault="008544CD" w:rsidP="006E40FB">
      <w:pPr>
        <w:pStyle w:val="Heading1"/>
      </w:pPr>
      <w:r w:rsidRPr="002B1B8D">
        <w:rPr>
          <w:rFonts w:ascii="Arial" w:hAnsi="Arial" w:cs="Arial"/>
          <w:b/>
          <w:bCs/>
          <w:color w:val="auto"/>
          <w:sz w:val="22"/>
          <w:szCs w:val="22"/>
        </w:rPr>
        <w:t>Report to:</w:t>
      </w:r>
      <w:r w:rsidRPr="006C52BF">
        <w:rPr>
          <w:rFonts w:cs="Calibri"/>
          <w:sz w:val="24"/>
          <w:szCs w:val="24"/>
        </w:rPr>
        <w:tab/>
      </w:r>
      <w:r w:rsidR="00F32E4C" w:rsidRPr="006E40FB">
        <w:rPr>
          <w:rStyle w:val="Heading1Char"/>
          <w:rFonts w:ascii="Arial" w:hAnsi="Arial" w:cs="Arial"/>
          <w:b/>
          <w:bCs/>
          <w:color w:val="auto"/>
          <w:sz w:val="22"/>
          <w:szCs w:val="22"/>
        </w:rPr>
        <w:t>Schools Forum</w:t>
      </w:r>
      <w:r w:rsidR="003266DB" w:rsidRPr="006E40FB">
        <w:t xml:space="preserve"> </w:t>
      </w:r>
    </w:p>
    <w:p w14:paraId="293EFC0B" w14:textId="77777777" w:rsidR="00F32E4C" w:rsidRPr="006E40FB" w:rsidRDefault="00F32E4C" w:rsidP="008544CD">
      <w:pPr>
        <w:pStyle w:val="NoSpacing"/>
        <w:rPr>
          <w:rFonts w:ascii="Arial" w:hAnsi="Arial" w:cs="Arial"/>
          <w:b/>
          <w:bCs/>
        </w:rPr>
      </w:pPr>
    </w:p>
    <w:p w14:paraId="7057EF82" w14:textId="4FECCF58" w:rsidR="008544CD" w:rsidRPr="006E40FB" w:rsidRDefault="007614A4" w:rsidP="008544CD">
      <w:pPr>
        <w:pStyle w:val="NoSpacing"/>
        <w:rPr>
          <w:rFonts w:ascii="Arial" w:hAnsi="Arial" w:cs="Arial"/>
          <w:b/>
          <w:bCs/>
        </w:rPr>
      </w:pPr>
      <w:r w:rsidRPr="006E40FB">
        <w:rPr>
          <w:rFonts w:ascii="Arial" w:hAnsi="Arial" w:cs="Arial"/>
          <w:b/>
          <w:bCs/>
        </w:rPr>
        <w:t>Date</w:t>
      </w:r>
      <w:r w:rsidR="00915A7A" w:rsidRPr="006E40FB">
        <w:rPr>
          <w:rFonts w:ascii="Arial" w:hAnsi="Arial" w:cs="Arial"/>
          <w:b/>
          <w:bCs/>
        </w:rPr>
        <w:t>:</w:t>
      </w:r>
      <w:r w:rsidRPr="006E40FB">
        <w:rPr>
          <w:rFonts w:ascii="Arial" w:hAnsi="Arial" w:cs="Arial"/>
          <w:b/>
          <w:bCs/>
        </w:rPr>
        <w:tab/>
      </w:r>
      <w:r w:rsidRPr="006E40FB">
        <w:rPr>
          <w:rFonts w:ascii="Arial" w:hAnsi="Arial" w:cs="Arial"/>
          <w:b/>
          <w:bCs/>
        </w:rPr>
        <w:tab/>
        <w:t>2</w:t>
      </w:r>
      <w:r w:rsidR="006F6961" w:rsidRPr="006E40FB">
        <w:rPr>
          <w:rFonts w:ascii="Arial" w:hAnsi="Arial" w:cs="Arial"/>
          <w:b/>
          <w:bCs/>
        </w:rPr>
        <w:t>0th</w:t>
      </w:r>
      <w:r w:rsidRPr="006E40FB">
        <w:rPr>
          <w:rFonts w:ascii="Arial" w:hAnsi="Arial" w:cs="Arial"/>
          <w:b/>
          <w:bCs/>
        </w:rPr>
        <w:t xml:space="preserve"> January 202</w:t>
      </w:r>
      <w:r w:rsidR="006F6961" w:rsidRPr="006E40FB">
        <w:rPr>
          <w:rFonts w:ascii="Arial" w:hAnsi="Arial" w:cs="Arial"/>
          <w:b/>
          <w:bCs/>
        </w:rPr>
        <w:t>2</w:t>
      </w:r>
      <w:r w:rsidRPr="006E40FB">
        <w:rPr>
          <w:rFonts w:ascii="Arial" w:hAnsi="Arial" w:cs="Arial"/>
          <w:b/>
          <w:bCs/>
        </w:rPr>
        <w:t xml:space="preserve"> </w:t>
      </w:r>
      <w:r w:rsidR="00EC624D" w:rsidRPr="006E40FB">
        <w:rPr>
          <w:rFonts w:ascii="Arial" w:hAnsi="Arial" w:cs="Arial"/>
          <w:b/>
          <w:bCs/>
        </w:rPr>
        <w:tab/>
      </w:r>
    </w:p>
    <w:p w14:paraId="788C534C" w14:textId="77777777" w:rsidR="008544CD" w:rsidRPr="006E40FB" w:rsidRDefault="008544CD" w:rsidP="008544CD">
      <w:pPr>
        <w:pStyle w:val="NoSpacing"/>
        <w:rPr>
          <w:rFonts w:ascii="Arial" w:hAnsi="Arial" w:cs="Arial"/>
          <w:b/>
          <w:bCs/>
        </w:rPr>
      </w:pPr>
    </w:p>
    <w:p w14:paraId="3A647B3A" w14:textId="1FE24B66" w:rsidR="008544CD" w:rsidRPr="006E40FB" w:rsidRDefault="008544CD" w:rsidP="007E696A">
      <w:pPr>
        <w:pStyle w:val="NoSpacing"/>
        <w:ind w:left="1440" w:hanging="1440"/>
        <w:rPr>
          <w:rFonts w:ascii="Arial" w:hAnsi="Arial" w:cs="Arial"/>
          <w:b/>
          <w:bCs/>
        </w:rPr>
      </w:pPr>
      <w:r w:rsidRPr="006E40FB">
        <w:rPr>
          <w:rFonts w:ascii="Arial" w:hAnsi="Arial" w:cs="Arial"/>
          <w:b/>
          <w:bCs/>
        </w:rPr>
        <w:t xml:space="preserve">Report </w:t>
      </w:r>
      <w:proofErr w:type="gramStart"/>
      <w:r w:rsidRPr="006E40FB">
        <w:rPr>
          <w:rFonts w:ascii="Arial" w:hAnsi="Arial" w:cs="Arial"/>
          <w:b/>
          <w:bCs/>
        </w:rPr>
        <w:t>of:</w:t>
      </w:r>
      <w:proofErr w:type="gramEnd"/>
      <w:r w:rsidRPr="006E40FB">
        <w:rPr>
          <w:rFonts w:ascii="Arial" w:hAnsi="Arial" w:cs="Arial"/>
          <w:b/>
          <w:bCs/>
        </w:rPr>
        <w:tab/>
      </w:r>
      <w:r w:rsidR="006F6961" w:rsidRPr="006E40FB">
        <w:rPr>
          <w:rFonts w:ascii="Arial" w:hAnsi="Arial" w:cs="Arial"/>
          <w:b/>
          <w:bCs/>
        </w:rPr>
        <w:t>Clare Sandland,</w:t>
      </w:r>
      <w:r w:rsidR="009F01AD" w:rsidRPr="006E40FB">
        <w:rPr>
          <w:rFonts w:ascii="Arial" w:hAnsi="Arial" w:cs="Arial"/>
          <w:b/>
          <w:bCs/>
        </w:rPr>
        <w:t xml:space="preserve"> </w:t>
      </w:r>
      <w:r w:rsidR="00EA4A73" w:rsidRPr="006E40FB">
        <w:rPr>
          <w:rFonts w:ascii="Arial" w:hAnsi="Arial" w:cs="Arial"/>
          <w:b/>
          <w:bCs/>
        </w:rPr>
        <w:t>Finance Bu</w:t>
      </w:r>
      <w:r w:rsidR="00A555ED" w:rsidRPr="006E40FB">
        <w:rPr>
          <w:rFonts w:ascii="Arial" w:hAnsi="Arial" w:cs="Arial"/>
          <w:b/>
          <w:bCs/>
        </w:rPr>
        <w:t>s</w:t>
      </w:r>
      <w:r w:rsidR="00EA4A73" w:rsidRPr="006E40FB">
        <w:rPr>
          <w:rFonts w:ascii="Arial" w:hAnsi="Arial" w:cs="Arial"/>
          <w:b/>
          <w:bCs/>
        </w:rPr>
        <w:t>iness Partner</w:t>
      </w:r>
      <w:r w:rsidR="009F01AD" w:rsidRPr="006E40FB">
        <w:rPr>
          <w:rFonts w:ascii="Arial" w:hAnsi="Arial" w:cs="Arial"/>
          <w:b/>
          <w:bCs/>
        </w:rPr>
        <w:t xml:space="preserve"> </w:t>
      </w:r>
    </w:p>
    <w:p w14:paraId="3BD83A36" w14:textId="77777777" w:rsidR="00EA4A73" w:rsidRPr="006E40FB" w:rsidRDefault="00EA4A73" w:rsidP="007E696A">
      <w:pPr>
        <w:pStyle w:val="NoSpacing"/>
        <w:ind w:left="1440" w:hanging="1440"/>
        <w:rPr>
          <w:rFonts w:ascii="Arial" w:hAnsi="Arial" w:cs="Arial"/>
          <w:b/>
          <w:bCs/>
        </w:rPr>
      </w:pPr>
    </w:p>
    <w:p w14:paraId="713DF0CC" w14:textId="77777777" w:rsidR="0061434E" w:rsidRPr="006E40FB" w:rsidRDefault="00EC624D" w:rsidP="007614A4">
      <w:pPr>
        <w:pStyle w:val="NoSpacing"/>
        <w:ind w:left="1395" w:hanging="1395"/>
        <w:rPr>
          <w:rStyle w:val="Heading1Char"/>
          <w:rFonts w:ascii="Arial" w:hAnsi="Arial" w:cs="Arial"/>
          <w:b/>
          <w:bCs/>
          <w:color w:val="auto"/>
          <w:sz w:val="22"/>
          <w:szCs w:val="22"/>
        </w:rPr>
      </w:pPr>
      <w:r w:rsidRPr="006E40FB">
        <w:rPr>
          <w:rFonts w:ascii="Arial" w:hAnsi="Arial" w:cs="Arial"/>
          <w:b/>
          <w:bCs/>
        </w:rPr>
        <w:t>Title:</w:t>
      </w:r>
      <w:r w:rsidRPr="006E40FB">
        <w:rPr>
          <w:rFonts w:ascii="Arial" w:hAnsi="Arial" w:cs="Arial"/>
          <w:b/>
          <w:bCs/>
        </w:rPr>
        <w:tab/>
      </w:r>
      <w:r w:rsidR="007614A4" w:rsidRPr="006E40FB">
        <w:rPr>
          <w:rStyle w:val="Heading1Char"/>
          <w:rFonts w:ascii="Arial" w:hAnsi="Arial" w:cs="Arial"/>
          <w:b/>
          <w:bCs/>
          <w:color w:val="auto"/>
          <w:sz w:val="22"/>
          <w:szCs w:val="22"/>
        </w:rPr>
        <w:t xml:space="preserve">Mainstream Schools Funding Formula and Minimum Funding Guarantee </w:t>
      </w:r>
      <w:r w:rsidR="006F6961" w:rsidRPr="006E40FB">
        <w:rPr>
          <w:rStyle w:val="Heading1Char"/>
          <w:rFonts w:ascii="Arial" w:hAnsi="Arial" w:cs="Arial"/>
          <w:b/>
          <w:bCs/>
          <w:color w:val="auto"/>
          <w:sz w:val="22"/>
          <w:szCs w:val="22"/>
        </w:rPr>
        <w:t>2022/23</w:t>
      </w:r>
    </w:p>
    <w:p w14:paraId="704BB160" w14:textId="77777777" w:rsidR="0061434E" w:rsidRDefault="0061434E" w:rsidP="008544CD">
      <w:pPr>
        <w:pStyle w:val="NoSpacing"/>
        <w:rPr>
          <w:rFonts w:ascii="Arial" w:hAnsi="Arial" w:cs="Arial"/>
          <w:b/>
        </w:rPr>
      </w:pPr>
    </w:p>
    <w:p w14:paraId="22E0A60A" w14:textId="715EEF85" w:rsidR="008544CD" w:rsidRPr="00B33074" w:rsidRDefault="0061434E" w:rsidP="008544CD">
      <w:pPr>
        <w:pStyle w:val="NoSpacing"/>
        <w:rPr>
          <w:rFonts w:ascii="Arial" w:hAnsi="Arial" w:cs="Arial"/>
        </w:rPr>
      </w:pPr>
      <w:r>
        <w:rPr>
          <w:rFonts w:ascii="Arial" w:hAnsi="Arial" w:cs="Arial"/>
          <w:b/>
        </w:rPr>
        <w:t>Status</w:t>
      </w:r>
      <w:r w:rsidR="009C7087">
        <w:rPr>
          <w:rFonts w:ascii="Arial" w:hAnsi="Arial" w:cs="Arial"/>
          <w:b/>
        </w:rPr>
        <w:t>:</w:t>
      </w:r>
      <w:r w:rsidR="009C7087">
        <w:rPr>
          <w:rFonts w:ascii="Arial" w:hAnsi="Arial" w:cs="Arial"/>
          <w:b/>
        </w:rPr>
        <w:tab/>
      </w:r>
      <w:r>
        <w:rPr>
          <w:rFonts w:ascii="Arial" w:hAnsi="Arial" w:cs="Arial"/>
          <w:b/>
        </w:rPr>
        <w:t xml:space="preserve">For </w:t>
      </w:r>
      <w:r w:rsidR="009F01AD">
        <w:rPr>
          <w:rFonts w:ascii="Arial" w:hAnsi="Arial" w:cs="Arial"/>
          <w:b/>
        </w:rPr>
        <w:t>Decision</w:t>
      </w:r>
      <w:r w:rsidR="00EC624D" w:rsidRPr="00B33074">
        <w:rPr>
          <w:rFonts w:ascii="Arial" w:hAnsi="Arial" w:cs="Arial"/>
          <w:b/>
        </w:rPr>
        <w:tab/>
      </w:r>
    </w:p>
    <w:p w14:paraId="1F4E9258" w14:textId="77777777" w:rsidR="008544CD" w:rsidRPr="006C52BF" w:rsidRDefault="008544CD" w:rsidP="008544CD">
      <w:pPr>
        <w:pStyle w:val="NoSpacing"/>
        <w:rPr>
          <w:rFonts w:cs="Calibri"/>
          <w:sz w:val="24"/>
          <w:szCs w:val="24"/>
        </w:rPr>
      </w:pPr>
    </w:p>
    <w:p w14:paraId="2451031A" w14:textId="77777777" w:rsidR="00F32E4C" w:rsidRDefault="00F32E4C" w:rsidP="00F32E4C">
      <w:pPr>
        <w:pStyle w:val="NoSpacing"/>
        <w:jc w:val="both"/>
        <w:rPr>
          <w:rFonts w:cs="Calibri"/>
          <w:b/>
          <w:sz w:val="24"/>
          <w:szCs w:val="24"/>
        </w:rPr>
      </w:pPr>
    </w:p>
    <w:p w14:paraId="52F0BAB6" w14:textId="77777777" w:rsidR="007614A4" w:rsidRDefault="007614A4" w:rsidP="00F32E4C">
      <w:pPr>
        <w:pStyle w:val="NoSpacing"/>
        <w:jc w:val="both"/>
        <w:rPr>
          <w:rFonts w:cs="Calibri"/>
          <w:b/>
          <w:sz w:val="24"/>
          <w:szCs w:val="24"/>
        </w:rPr>
      </w:pPr>
      <w:r>
        <w:rPr>
          <w:rFonts w:cs="Calibri"/>
          <w:b/>
          <w:sz w:val="24"/>
          <w:szCs w:val="24"/>
        </w:rPr>
        <w:t>Purpose</w:t>
      </w:r>
    </w:p>
    <w:p w14:paraId="7837AFC8" w14:textId="77777777" w:rsidR="007614A4" w:rsidRDefault="007614A4" w:rsidP="00F32E4C">
      <w:pPr>
        <w:pStyle w:val="NoSpacing"/>
        <w:jc w:val="both"/>
        <w:rPr>
          <w:rFonts w:cs="Calibri"/>
          <w:b/>
          <w:sz w:val="24"/>
          <w:szCs w:val="24"/>
        </w:rPr>
      </w:pPr>
    </w:p>
    <w:p w14:paraId="0B5F796E" w14:textId="6BA853C0" w:rsidR="007614A4" w:rsidRDefault="007614A4" w:rsidP="007614A4">
      <w:pPr>
        <w:pStyle w:val="NoSpacing"/>
        <w:rPr>
          <w:rFonts w:cs="Calibri"/>
          <w:sz w:val="24"/>
          <w:szCs w:val="24"/>
        </w:rPr>
      </w:pPr>
      <w:r w:rsidRPr="007614A4">
        <w:rPr>
          <w:rFonts w:cs="Calibri"/>
          <w:sz w:val="24"/>
          <w:szCs w:val="24"/>
        </w:rPr>
        <w:t xml:space="preserve">The purpose of this report is to seek Schools Forum approval </w:t>
      </w:r>
      <w:r w:rsidR="00A64C31">
        <w:rPr>
          <w:rFonts w:cs="Calibri"/>
          <w:sz w:val="24"/>
          <w:szCs w:val="24"/>
        </w:rPr>
        <w:t>for the allocation of the national funding formula factor values and</w:t>
      </w:r>
      <w:r w:rsidRPr="007614A4">
        <w:rPr>
          <w:rFonts w:cs="Calibri"/>
          <w:sz w:val="24"/>
          <w:szCs w:val="24"/>
        </w:rPr>
        <w:t xml:space="preserve"> the Minimum Funding Guarantee (MFG) </w:t>
      </w:r>
      <w:r w:rsidR="00A64C31">
        <w:rPr>
          <w:rFonts w:cs="Calibri"/>
          <w:sz w:val="24"/>
          <w:szCs w:val="24"/>
        </w:rPr>
        <w:t xml:space="preserve">at 2% </w:t>
      </w:r>
      <w:r w:rsidRPr="007614A4">
        <w:rPr>
          <w:rFonts w:cs="Calibri"/>
          <w:sz w:val="24"/>
          <w:szCs w:val="24"/>
        </w:rPr>
        <w:t>as part of the mainstream school funding formula for Birmingham for 2022</w:t>
      </w:r>
      <w:r w:rsidR="006F6961">
        <w:rPr>
          <w:rFonts w:cs="Calibri"/>
          <w:sz w:val="24"/>
          <w:szCs w:val="24"/>
        </w:rPr>
        <w:t>/23</w:t>
      </w:r>
      <w:r w:rsidR="00A64C31">
        <w:rPr>
          <w:rFonts w:cs="Calibri"/>
          <w:sz w:val="24"/>
          <w:szCs w:val="24"/>
        </w:rPr>
        <w:t xml:space="preserve"> and to agree the preferred option for allocating the additional £31</w:t>
      </w:r>
      <w:r w:rsidR="000B54BC">
        <w:rPr>
          <w:rFonts w:cs="Calibri"/>
          <w:sz w:val="24"/>
          <w:szCs w:val="24"/>
        </w:rPr>
        <w:t>1</w:t>
      </w:r>
      <w:r w:rsidR="00A64C31">
        <w:rPr>
          <w:rFonts w:cs="Calibri"/>
          <w:sz w:val="24"/>
          <w:szCs w:val="24"/>
        </w:rPr>
        <w:t>,020 available after applying the National Funding Formula.</w:t>
      </w:r>
    </w:p>
    <w:p w14:paraId="68C2287B" w14:textId="77777777" w:rsidR="007614A4" w:rsidRDefault="007614A4" w:rsidP="007614A4">
      <w:pPr>
        <w:pStyle w:val="NoSpacing"/>
        <w:rPr>
          <w:rFonts w:cs="Calibri"/>
          <w:sz w:val="24"/>
          <w:szCs w:val="24"/>
        </w:rPr>
      </w:pPr>
    </w:p>
    <w:p w14:paraId="7B97E75F" w14:textId="77777777" w:rsidR="007614A4" w:rsidRDefault="007614A4" w:rsidP="007614A4">
      <w:pPr>
        <w:pStyle w:val="NoSpacing"/>
        <w:rPr>
          <w:rFonts w:cs="Calibri"/>
          <w:b/>
          <w:sz w:val="24"/>
          <w:szCs w:val="24"/>
        </w:rPr>
      </w:pPr>
      <w:r w:rsidRPr="007614A4">
        <w:rPr>
          <w:rFonts w:cs="Calibri"/>
          <w:b/>
          <w:sz w:val="24"/>
          <w:szCs w:val="24"/>
        </w:rPr>
        <w:t>Background</w:t>
      </w:r>
    </w:p>
    <w:p w14:paraId="0D942EE9" w14:textId="77777777" w:rsidR="007614A4" w:rsidRDefault="007614A4" w:rsidP="007614A4">
      <w:pPr>
        <w:pStyle w:val="NoSpacing"/>
        <w:rPr>
          <w:rFonts w:cs="Calibri"/>
          <w:b/>
          <w:sz w:val="24"/>
          <w:szCs w:val="24"/>
        </w:rPr>
      </w:pPr>
    </w:p>
    <w:p w14:paraId="08D85CD1" w14:textId="0F7BCE7F" w:rsidR="007614A4" w:rsidRPr="007614A4" w:rsidRDefault="007614A4" w:rsidP="007614A4">
      <w:pPr>
        <w:pStyle w:val="NoSpacing"/>
        <w:rPr>
          <w:rFonts w:cs="Calibri"/>
          <w:sz w:val="24"/>
          <w:szCs w:val="24"/>
        </w:rPr>
      </w:pPr>
      <w:r w:rsidRPr="007614A4">
        <w:rPr>
          <w:rFonts w:cs="Calibri"/>
          <w:sz w:val="24"/>
          <w:szCs w:val="24"/>
        </w:rPr>
        <w:t xml:space="preserve">Each year </w:t>
      </w:r>
      <w:r w:rsidR="009C7087">
        <w:rPr>
          <w:rFonts w:cs="Calibri"/>
          <w:sz w:val="24"/>
          <w:szCs w:val="24"/>
        </w:rPr>
        <w:t>l</w:t>
      </w:r>
      <w:r w:rsidRPr="007614A4">
        <w:rPr>
          <w:rFonts w:cs="Calibri"/>
          <w:sz w:val="24"/>
          <w:szCs w:val="24"/>
        </w:rPr>
        <w:t xml:space="preserve">ocal </w:t>
      </w:r>
      <w:r w:rsidR="009C7087">
        <w:rPr>
          <w:rFonts w:cs="Calibri"/>
          <w:sz w:val="24"/>
          <w:szCs w:val="24"/>
        </w:rPr>
        <w:t>a</w:t>
      </w:r>
      <w:r w:rsidRPr="007614A4">
        <w:rPr>
          <w:rFonts w:cs="Calibri"/>
          <w:sz w:val="24"/>
          <w:szCs w:val="24"/>
        </w:rPr>
        <w:t>uthorities are required to detail their schools block funding formulae in accordance with the arrangements set out by the Secretary of State for Education. The Education and Skills Funding Agency (ESFA) has developed the authority proforma tool (APT) to assist local authorities to model and then confirm how they plan to do this for the funding year.</w:t>
      </w:r>
    </w:p>
    <w:p w14:paraId="6F6D6BEE" w14:textId="77777777" w:rsidR="007614A4" w:rsidRDefault="007614A4" w:rsidP="007614A4">
      <w:pPr>
        <w:pStyle w:val="NoSpacing"/>
        <w:rPr>
          <w:rFonts w:cs="Calibri"/>
          <w:b/>
          <w:sz w:val="24"/>
          <w:szCs w:val="24"/>
        </w:rPr>
      </w:pPr>
    </w:p>
    <w:p w14:paraId="53D27788" w14:textId="2DC57F7E" w:rsidR="004F40DF" w:rsidRPr="00A654EC" w:rsidRDefault="004F40DF" w:rsidP="007614A4">
      <w:pPr>
        <w:pStyle w:val="NoSpacing"/>
        <w:rPr>
          <w:rFonts w:cs="Calibri"/>
          <w:sz w:val="24"/>
          <w:szCs w:val="24"/>
        </w:rPr>
      </w:pPr>
      <w:r w:rsidRPr="00A654EC">
        <w:rPr>
          <w:rFonts w:cs="Calibri"/>
          <w:sz w:val="24"/>
          <w:szCs w:val="24"/>
        </w:rPr>
        <w:t>The overall structure of the formula is the same as in 2021</w:t>
      </w:r>
      <w:r w:rsidR="00915A7A">
        <w:rPr>
          <w:rFonts w:cs="Calibri"/>
          <w:sz w:val="24"/>
          <w:szCs w:val="24"/>
        </w:rPr>
        <w:t>/</w:t>
      </w:r>
      <w:r w:rsidRPr="00A654EC">
        <w:rPr>
          <w:rFonts w:cs="Calibri"/>
          <w:sz w:val="24"/>
          <w:szCs w:val="24"/>
        </w:rPr>
        <w:t xml:space="preserve">22. Most factors have increased by 3%, but with some exceptions, for example </w:t>
      </w:r>
      <w:r w:rsidR="00A64C31">
        <w:rPr>
          <w:rFonts w:cs="Calibri"/>
          <w:sz w:val="24"/>
          <w:szCs w:val="24"/>
        </w:rPr>
        <w:t>the per pupil f</w:t>
      </w:r>
      <w:r w:rsidR="0077093A" w:rsidRPr="00A654EC">
        <w:rPr>
          <w:rFonts w:cs="Calibri"/>
          <w:sz w:val="24"/>
          <w:szCs w:val="24"/>
        </w:rPr>
        <w:t>unding floor has</w:t>
      </w:r>
      <w:r w:rsidR="00915A7A">
        <w:rPr>
          <w:rFonts w:cs="Calibri"/>
          <w:sz w:val="24"/>
          <w:szCs w:val="24"/>
        </w:rPr>
        <w:t xml:space="preserve"> a</w:t>
      </w:r>
      <w:r w:rsidR="0077093A" w:rsidRPr="00A654EC">
        <w:rPr>
          <w:rFonts w:cs="Calibri"/>
          <w:sz w:val="24"/>
          <w:szCs w:val="24"/>
        </w:rPr>
        <w:t xml:space="preserve"> 2% uplift from 2021</w:t>
      </w:r>
      <w:r w:rsidR="00915A7A">
        <w:rPr>
          <w:rFonts w:cs="Calibri"/>
          <w:sz w:val="24"/>
          <w:szCs w:val="24"/>
        </w:rPr>
        <w:t>/</w:t>
      </w:r>
      <w:r w:rsidR="0077093A" w:rsidRPr="00A654EC">
        <w:rPr>
          <w:rFonts w:cs="Calibri"/>
          <w:sz w:val="24"/>
          <w:szCs w:val="24"/>
        </w:rPr>
        <w:t xml:space="preserve">22, </w:t>
      </w:r>
      <w:r w:rsidR="00915A7A">
        <w:rPr>
          <w:rFonts w:cs="Calibri"/>
          <w:sz w:val="24"/>
          <w:szCs w:val="24"/>
        </w:rPr>
        <w:t xml:space="preserve">and the </w:t>
      </w:r>
      <w:r w:rsidR="0077093A" w:rsidRPr="00A654EC">
        <w:rPr>
          <w:rFonts w:cs="Calibri"/>
          <w:sz w:val="24"/>
          <w:szCs w:val="24"/>
        </w:rPr>
        <w:t>FSM factor</w:t>
      </w:r>
      <w:r w:rsidR="000A14DA" w:rsidRPr="00A654EC">
        <w:rPr>
          <w:rFonts w:cs="Calibri"/>
          <w:sz w:val="24"/>
          <w:szCs w:val="24"/>
        </w:rPr>
        <w:t xml:space="preserve"> has</w:t>
      </w:r>
      <w:r w:rsidR="00915A7A">
        <w:rPr>
          <w:rFonts w:cs="Calibri"/>
          <w:sz w:val="24"/>
          <w:szCs w:val="24"/>
        </w:rPr>
        <w:t xml:space="preserve"> a</w:t>
      </w:r>
      <w:r w:rsidR="0077093A" w:rsidRPr="00A654EC">
        <w:rPr>
          <w:rFonts w:cs="Calibri"/>
          <w:sz w:val="24"/>
          <w:szCs w:val="24"/>
        </w:rPr>
        <w:t xml:space="preserve"> 2% uplift to per-pupil value</w:t>
      </w:r>
      <w:r w:rsidR="000A14DA" w:rsidRPr="00A654EC">
        <w:rPr>
          <w:rFonts w:cs="Calibri"/>
          <w:sz w:val="24"/>
          <w:szCs w:val="24"/>
        </w:rPr>
        <w:t>.</w:t>
      </w:r>
    </w:p>
    <w:p w14:paraId="4C406FCD" w14:textId="77777777" w:rsidR="000A14DA" w:rsidRPr="00A654EC" w:rsidRDefault="000A14DA" w:rsidP="007614A4">
      <w:pPr>
        <w:pStyle w:val="NoSpacing"/>
        <w:rPr>
          <w:rFonts w:cs="Calibri"/>
          <w:sz w:val="24"/>
          <w:szCs w:val="24"/>
        </w:rPr>
      </w:pPr>
      <w:r w:rsidRPr="00A654EC">
        <w:rPr>
          <w:rFonts w:cs="Calibri"/>
          <w:sz w:val="24"/>
          <w:szCs w:val="24"/>
        </w:rPr>
        <w:t xml:space="preserve"> </w:t>
      </w:r>
    </w:p>
    <w:p w14:paraId="5F0DEBAE" w14:textId="77777777" w:rsidR="000A14DA" w:rsidRPr="00A654EC" w:rsidRDefault="007E2D31" w:rsidP="007614A4">
      <w:pPr>
        <w:pStyle w:val="NoSpacing"/>
        <w:rPr>
          <w:rFonts w:cs="Calibri"/>
          <w:sz w:val="24"/>
          <w:szCs w:val="24"/>
        </w:rPr>
      </w:pPr>
      <w:r w:rsidRPr="00A64C31">
        <w:rPr>
          <w:rFonts w:cs="Calibri"/>
          <w:sz w:val="24"/>
          <w:szCs w:val="24"/>
        </w:rPr>
        <w:t>The total allocation as at 16</w:t>
      </w:r>
      <w:r w:rsidRPr="00A654EC">
        <w:rPr>
          <w:rFonts w:cs="Calibri"/>
          <w:sz w:val="24"/>
          <w:szCs w:val="24"/>
        </w:rPr>
        <w:t>th</w:t>
      </w:r>
      <w:r w:rsidRPr="00A64C31">
        <w:rPr>
          <w:rFonts w:cs="Calibri"/>
          <w:sz w:val="24"/>
          <w:szCs w:val="24"/>
        </w:rPr>
        <w:t xml:space="preserve"> December </w:t>
      </w:r>
      <w:r w:rsidR="00FA3623" w:rsidRPr="00A64C31">
        <w:rPr>
          <w:rFonts w:cs="Calibri"/>
          <w:sz w:val="24"/>
          <w:szCs w:val="24"/>
        </w:rPr>
        <w:t xml:space="preserve">2021 </w:t>
      </w:r>
      <w:r w:rsidRPr="00A64C31">
        <w:rPr>
          <w:rFonts w:cs="Calibri"/>
          <w:sz w:val="24"/>
          <w:szCs w:val="24"/>
        </w:rPr>
        <w:t xml:space="preserve">for Birmingham is </w:t>
      </w:r>
      <w:r w:rsidR="00302497" w:rsidRPr="00A64C31">
        <w:rPr>
          <w:rFonts w:cs="Calibri"/>
          <w:sz w:val="24"/>
          <w:szCs w:val="24"/>
        </w:rPr>
        <w:t>£1,031,442,395</w:t>
      </w:r>
      <w:r w:rsidR="0036293A" w:rsidRPr="00A64C31">
        <w:rPr>
          <w:rFonts w:cs="Calibri"/>
          <w:sz w:val="24"/>
          <w:szCs w:val="24"/>
        </w:rPr>
        <w:t xml:space="preserve"> </w:t>
      </w:r>
      <w:r w:rsidR="00502A00" w:rsidRPr="00A64C31">
        <w:rPr>
          <w:rFonts w:cs="Calibri"/>
          <w:sz w:val="24"/>
          <w:szCs w:val="24"/>
        </w:rPr>
        <w:t xml:space="preserve">including </w:t>
      </w:r>
      <w:r w:rsidR="0036293A" w:rsidRPr="00A654EC">
        <w:rPr>
          <w:rFonts w:cs="Calibri"/>
          <w:sz w:val="24"/>
          <w:szCs w:val="24"/>
        </w:rPr>
        <w:t xml:space="preserve">£7,909,491 NNDR within the premises factor, or </w:t>
      </w:r>
      <w:r w:rsidR="000D4BFA" w:rsidRPr="00A654EC">
        <w:rPr>
          <w:rFonts w:cs="Calibri"/>
          <w:sz w:val="24"/>
          <w:szCs w:val="24"/>
        </w:rPr>
        <w:t xml:space="preserve">£1,023,532,904 excluding NNDR. </w:t>
      </w:r>
    </w:p>
    <w:p w14:paraId="341754BE" w14:textId="77777777" w:rsidR="000D4BFA" w:rsidRPr="00A654EC" w:rsidRDefault="000D4BFA" w:rsidP="007614A4">
      <w:pPr>
        <w:pStyle w:val="NoSpacing"/>
        <w:rPr>
          <w:rFonts w:cs="Calibri"/>
          <w:sz w:val="24"/>
          <w:szCs w:val="24"/>
        </w:rPr>
      </w:pPr>
    </w:p>
    <w:p w14:paraId="7E1AD164" w14:textId="13D19953" w:rsidR="000D4BFA" w:rsidRPr="00A64C31" w:rsidRDefault="00F96688" w:rsidP="007614A4">
      <w:pPr>
        <w:pStyle w:val="NoSpacing"/>
        <w:rPr>
          <w:rFonts w:cs="Calibri"/>
          <w:sz w:val="24"/>
          <w:szCs w:val="24"/>
        </w:rPr>
      </w:pPr>
      <w:r w:rsidRPr="00A654EC">
        <w:rPr>
          <w:rFonts w:cs="Calibri"/>
          <w:sz w:val="24"/>
          <w:szCs w:val="24"/>
        </w:rPr>
        <w:t xml:space="preserve">The council has </w:t>
      </w:r>
      <w:r w:rsidR="008007CC" w:rsidRPr="00A654EC">
        <w:rPr>
          <w:rFonts w:cs="Calibri"/>
          <w:sz w:val="24"/>
          <w:szCs w:val="24"/>
        </w:rPr>
        <w:t>applied NFF rate</w:t>
      </w:r>
      <w:r w:rsidR="00C57154" w:rsidRPr="00A654EC">
        <w:rPr>
          <w:rFonts w:cs="Calibri"/>
          <w:sz w:val="24"/>
          <w:szCs w:val="24"/>
        </w:rPr>
        <w:t xml:space="preserve"> in the APT</w:t>
      </w:r>
      <w:r w:rsidR="00A64C31">
        <w:rPr>
          <w:rFonts w:cs="Calibri"/>
          <w:sz w:val="24"/>
          <w:szCs w:val="24"/>
        </w:rPr>
        <w:t xml:space="preserve"> and</w:t>
      </w:r>
      <w:r w:rsidR="003B4E0C" w:rsidRPr="00A64C31">
        <w:rPr>
          <w:rFonts w:cs="Calibri"/>
          <w:sz w:val="24"/>
          <w:szCs w:val="24"/>
        </w:rPr>
        <w:t xml:space="preserve"> </w:t>
      </w:r>
      <w:r w:rsidR="0049565A" w:rsidRPr="00A64C31">
        <w:rPr>
          <w:rFonts w:cs="Calibri"/>
          <w:sz w:val="24"/>
          <w:szCs w:val="24"/>
        </w:rPr>
        <w:t>modell</w:t>
      </w:r>
      <w:r w:rsidR="00A64C31">
        <w:rPr>
          <w:rFonts w:cs="Calibri"/>
          <w:sz w:val="24"/>
          <w:szCs w:val="24"/>
        </w:rPr>
        <w:t>ed four</w:t>
      </w:r>
      <w:r w:rsidR="0049565A" w:rsidRPr="00A64C31">
        <w:rPr>
          <w:rFonts w:cs="Calibri"/>
          <w:sz w:val="24"/>
          <w:szCs w:val="24"/>
        </w:rPr>
        <w:t xml:space="preserve"> different options to </w:t>
      </w:r>
      <w:r w:rsidR="00A64C31">
        <w:rPr>
          <w:rFonts w:cs="Calibri"/>
          <w:sz w:val="24"/>
          <w:szCs w:val="24"/>
        </w:rPr>
        <w:t>allocate the £31</w:t>
      </w:r>
      <w:r w:rsidR="00CE63D1">
        <w:rPr>
          <w:rFonts w:cs="Calibri"/>
          <w:sz w:val="24"/>
          <w:szCs w:val="24"/>
        </w:rPr>
        <w:t>1</w:t>
      </w:r>
      <w:r w:rsidR="00A64C31">
        <w:rPr>
          <w:rFonts w:cs="Calibri"/>
          <w:sz w:val="24"/>
          <w:szCs w:val="24"/>
        </w:rPr>
        <w:t>,020 funding available after applying the NFF.</w:t>
      </w:r>
      <w:r w:rsidR="0049565A" w:rsidRPr="00A64C31">
        <w:rPr>
          <w:rFonts w:cs="Calibri"/>
          <w:sz w:val="24"/>
          <w:szCs w:val="24"/>
        </w:rPr>
        <w:t xml:space="preserve"> </w:t>
      </w:r>
      <w:r w:rsidR="00A64C31">
        <w:rPr>
          <w:rFonts w:cs="Calibri"/>
          <w:sz w:val="24"/>
          <w:szCs w:val="24"/>
        </w:rPr>
        <w:t>T</w:t>
      </w:r>
      <w:r w:rsidR="00040A2A" w:rsidRPr="00A64C31">
        <w:rPr>
          <w:rFonts w:cs="Calibri"/>
          <w:sz w:val="24"/>
          <w:szCs w:val="24"/>
        </w:rPr>
        <w:t>he impact</w:t>
      </w:r>
      <w:r w:rsidR="00915A7A">
        <w:rPr>
          <w:rFonts w:cs="Calibri"/>
          <w:sz w:val="24"/>
          <w:szCs w:val="24"/>
        </w:rPr>
        <w:t>s</w:t>
      </w:r>
      <w:r w:rsidR="00040A2A" w:rsidRPr="00A64C31">
        <w:rPr>
          <w:rFonts w:cs="Calibri"/>
          <w:sz w:val="24"/>
          <w:szCs w:val="24"/>
        </w:rPr>
        <w:t xml:space="preserve"> of </w:t>
      </w:r>
      <w:r w:rsidR="00040A2A" w:rsidRPr="00A64C31">
        <w:rPr>
          <w:rFonts w:cs="Calibri"/>
          <w:sz w:val="24"/>
          <w:szCs w:val="24"/>
        </w:rPr>
        <w:lastRenderedPageBreak/>
        <w:t>applying</w:t>
      </w:r>
      <w:r w:rsidR="00915A7A">
        <w:rPr>
          <w:rFonts w:cs="Calibri"/>
          <w:sz w:val="24"/>
          <w:szCs w:val="24"/>
        </w:rPr>
        <w:t xml:space="preserve"> a</w:t>
      </w:r>
      <w:r w:rsidR="00040A2A" w:rsidRPr="00A64C31">
        <w:rPr>
          <w:rFonts w:cs="Calibri"/>
          <w:sz w:val="24"/>
          <w:szCs w:val="24"/>
        </w:rPr>
        <w:t xml:space="preserve"> different rate of MFG </w:t>
      </w:r>
      <w:r w:rsidR="007B068A" w:rsidRPr="00A64C31">
        <w:rPr>
          <w:rFonts w:cs="Calibri"/>
          <w:sz w:val="24"/>
          <w:szCs w:val="24"/>
        </w:rPr>
        <w:t xml:space="preserve">(minimum funding guarantee) </w:t>
      </w:r>
      <w:r w:rsidR="00040A2A" w:rsidRPr="00A64C31">
        <w:rPr>
          <w:rFonts w:cs="Calibri"/>
          <w:sz w:val="24"/>
          <w:szCs w:val="24"/>
        </w:rPr>
        <w:t>and AWPU</w:t>
      </w:r>
      <w:r w:rsidR="007B068A" w:rsidRPr="00A64C31">
        <w:rPr>
          <w:rFonts w:cs="Calibri"/>
          <w:sz w:val="24"/>
          <w:szCs w:val="24"/>
        </w:rPr>
        <w:t xml:space="preserve"> </w:t>
      </w:r>
      <w:r w:rsidR="00A847B1" w:rsidRPr="00A64C31">
        <w:rPr>
          <w:rFonts w:cs="Calibri"/>
          <w:sz w:val="24"/>
          <w:szCs w:val="24"/>
        </w:rPr>
        <w:t>(age-weighted pupil units)</w:t>
      </w:r>
      <w:r w:rsidR="00A64C31">
        <w:rPr>
          <w:rFonts w:cs="Calibri"/>
          <w:sz w:val="24"/>
          <w:szCs w:val="24"/>
        </w:rPr>
        <w:t xml:space="preserve"> </w:t>
      </w:r>
      <w:r w:rsidR="00915A7A">
        <w:rPr>
          <w:rFonts w:cs="Calibri"/>
          <w:sz w:val="24"/>
          <w:szCs w:val="24"/>
        </w:rPr>
        <w:t>are</w:t>
      </w:r>
      <w:r w:rsidR="00A64C31">
        <w:rPr>
          <w:rFonts w:cs="Calibri"/>
          <w:sz w:val="24"/>
          <w:szCs w:val="24"/>
        </w:rPr>
        <w:t xml:space="preserve"> set out in the options table below.</w:t>
      </w:r>
    </w:p>
    <w:p w14:paraId="65DFD765" w14:textId="77777777" w:rsidR="00A30180" w:rsidRPr="00A64C31" w:rsidRDefault="00A30180" w:rsidP="007614A4">
      <w:pPr>
        <w:pStyle w:val="NoSpacing"/>
        <w:rPr>
          <w:rFonts w:cs="Calibri"/>
          <w:sz w:val="24"/>
          <w:szCs w:val="24"/>
        </w:rPr>
      </w:pPr>
    </w:p>
    <w:p w14:paraId="57573773" w14:textId="1846EC39" w:rsidR="00877364" w:rsidRPr="00877364" w:rsidRDefault="00DC35FE" w:rsidP="00A30180">
      <w:pPr>
        <w:rPr>
          <w:rFonts w:cs="Calibri"/>
          <w:b/>
          <w:sz w:val="24"/>
          <w:szCs w:val="24"/>
        </w:rPr>
      </w:pPr>
      <w:r w:rsidRPr="00A654EC">
        <w:rPr>
          <w:rFonts w:cs="Calibri"/>
          <w:sz w:val="24"/>
          <w:szCs w:val="24"/>
        </w:rPr>
        <w:br w:type="page"/>
      </w:r>
      <w:r w:rsidR="00877364" w:rsidRPr="00877364">
        <w:rPr>
          <w:rFonts w:cs="Calibri"/>
          <w:b/>
          <w:sz w:val="24"/>
          <w:szCs w:val="24"/>
        </w:rPr>
        <w:lastRenderedPageBreak/>
        <w:t>Schools supplementary grant</w:t>
      </w:r>
    </w:p>
    <w:p w14:paraId="6D39A413" w14:textId="37FD12AE" w:rsidR="00A30180" w:rsidRPr="00A64C31" w:rsidRDefault="00A30180" w:rsidP="00A654EC">
      <w:pPr>
        <w:rPr>
          <w:rFonts w:cs="Calibri"/>
        </w:rPr>
      </w:pPr>
      <w:r w:rsidRPr="00A654EC">
        <w:rPr>
          <w:rFonts w:cs="Calibri"/>
          <w:sz w:val="24"/>
          <w:szCs w:val="24"/>
        </w:rPr>
        <w:t xml:space="preserve">The autumn 2021 spending review confirmed </w:t>
      </w:r>
      <w:r w:rsidR="00E16D9D" w:rsidRPr="00A654EC">
        <w:rPr>
          <w:rFonts w:cs="Calibri"/>
          <w:sz w:val="24"/>
          <w:szCs w:val="24"/>
        </w:rPr>
        <w:t xml:space="preserve">an additional </w:t>
      </w:r>
      <w:r w:rsidRPr="00A654EC">
        <w:rPr>
          <w:rFonts w:cs="Calibri"/>
          <w:sz w:val="24"/>
          <w:szCs w:val="24"/>
        </w:rPr>
        <w:t>£1.6 billion funding for schools and high needs, for the 2022</w:t>
      </w:r>
      <w:r w:rsidR="00915A7A">
        <w:rPr>
          <w:rFonts w:cs="Calibri"/>
          <w:sz w:val="24"/>
          <w:szCs w:val="24"/>
        </w:rPr>
        <w:t>/23</w:t>
      </w:r>
      <w:r w:rsidRPr="00A654EC">
        <w:rPr>
          <w:rFonts w:cs="Calibri"/>
          <w:sz w:val="24"/>
          <w:szCs w:val="24"/>
        </w:rPr>
        <w:t xml:space="preserve"> financial year, above the previously announced DSG settlement. In the 2022</w:t>
      </w:r>
      <w:r w:rsidR="00915A7A">
        <w:rPr>
          <w:rFonts w:cs="Calibri"/>
          <w:sz w:val="24"/>
          <w:szCs w:val="24"/>
        </w:rPr>
        <w:t>/</w:t>
      </w:r>
      <w:r w:rsidRPr="00A654EC">
        <w:rPr>
          <w:rFonts w:cs="Calibri"/>
          <w:sz w:val="24"/>
          <w:szCs w:val="24"/>
        </w:rPr>
        <w:t xml:space="preserve">23 financial year, schools will be allocated £1.2 billion of this additional funding, to provide support for the costs of the Health and Social Care Levy and wider costs. This funding will be allocated through the </w:t>
      </w:r>
      <w:r w:rsidR="00915A7A">
        <w:rPr>
          <w:rFonts w:cs="Calibri"/>
          <w:sz w:val="24"/>
          <w:szCs w:val="24"/>
        </w:rPr>
        <w:t>S</w:t>
      </w:r>
      <w:r w:rsidRPr="00A654EC">
        <w:rPr>
          <w:rFonts w:cs="Calibri"/>
          <w:sz w:val="24"/>
          <w:szCs w:val="24"/>
        </w:rPr>
        <w:t>chool</w:t>
      </w:r>
      <w:r w:rsidR="008464EC">
        <w:rPr>
          <w:rFonts w:cs="Calibri"/>
          <w:sz w:val="24"/>
          <w:szCs w:val="24"/>
        </w:rPr>
        <w:t>’</w:t>
      </w:r>
      <w:r w:rsidRPr="00A654EC">
        <w:rPr>
          <w:rFonts w:cs="Calibri"/>
          <w:sz w:val="24"/>
          <w:szCs w:val="24"/>
        </w:rPr>
        <w:t xml:space="preserve">s </w:t>
      </w:r>
      <w:r w:rsidR="00915A7A">
        <w:rPr>
          <w:rFonts w:cs="Calibri"/>
          <w:sz w:val="24"/>
          <w:szCs w:val="24"/>
        </w:rPr>
        <w:t>S</w:t>
      </w:r>
      <w:r w:rsidRPr="00A654EC">
        <w:rPr>
          <w:rFonts w:cs="Calibri"/>
          <w:sz w:val="24"/>
          <w:szCs w:val="24"/>
        </w:rPr>
        <w:t xml:space="preserve">upplementary </w:t>
      </w:r>
      <w:r w:rsidR="00915A7A">
        <w:rPr>
          <w:rFonts w:cs="Calibri"/>
          <w:sz w:val="24"/>
          <w:szCs w:val="24"/>
        </w:rPr>
        <w:t>G</w:t>
      </w:r>
      <w:r w:rsidRPr="00A654EC">
        <w:rPr>
          <w:rFonts w:cs="Calibri"/>
          <w:sz w:val="24"/>
          <w:szCs w:val="24"/>
        </w:rPr>
        <w:t>rant 2022</w:t>
      </w:r>
      <w:r w:rsidR="00915A7A">
        <w:rPr>
          <w:rFonts w:cs="Calibri"/>
          <w:sz w:val="24"/>
          <w:szCs w:val="24"/>
        </w:rPr>
        <w:t>/</w:t>
      </w:r>
      <w:r w:rsidRPr="00A654EC">
        <w:rPr>
          <w:rFonts w:cs="Calibri"/>
          <w:sz w:val="24"/>
          <w:szCs w:val="24"/>
        </w:rPr>
        <w:t xml:space="preserve">2023. In addition to the </w:t>
      </w:r>
      <w:r w:rsidR="00915A7A">
        <w:rPr>
          <w:rFonts w:cs="Calibri"/>
          <w:sz w:val="24"/>
          <w:szCs w:val="24"/>
        </w:rPr>
        <w:t>S</w:t>
      </w:r>
      <w:r w:rsidRPr="00A654EC">
        <w:rPr>
          <w:rFonts w:cs="Calibri"/>
          <w:sz w:val="24"/>
          <w:szCs w:val="24"/>
        </w:rPr>
        <w:t>chool</w:t>
      </w:r>
      <w:r w:rsidR="008464EC">
        <w:rPr>
          <w:rFonts w:cs="Calibri"/>
          <w:sz w:val="24"/>
          <w:szCs w:val="24"/>
        </w:rPr>
        <w:t>’</w:t>
      </w:r>
      <w:r w:rsidRPr="00A654EC">
        <w:rPr>
          <w:rFonts w:cs="Calibri"/>
          <w:sz w:val="24"/>
          <w:szCs w:val="24"/>
        </w:rPr>
        <w:t xml:space="preserve">s </w:t>
      </w:r>
      <w:r w:rsidR="00915A7A">
        <w:rPr>
          <w:rFonts w:cs="Calibri"/>
          <w:sz w:val="24"/>
          <w:szCs w:val="24"/>
        </w:rPr>
        <w:t>S</w:t>
      </w:r>
      <w:r w:rsidRPr="00A654EC">
        <w:rPr>
          <w:rFonts w:cs="Calibri"/>
          <w:sz w:val="24"/>
          <w:szCs w:val="24"/>
        </w:rPr>
        <w:t xml:space="preserve">upplementary </w:t>
      </w:r>
      <w:r w:rsidR="00915A7A">
        <w:rPr>
          <w:rFonts w:cs="Calibri"/>
          <w:sz w:val="24"/>
          <w:szCs w:val="24"/>
        </w:rPr>
        <w:t>G</w:t>
      </w:r>
      <w:r w:rsidRPr="00A654EC">
        <w:rPr>
          <w:rFonts w:cs="Calibri"/>
          <w:sz w:val="24"/>
          <w:szCs w:val="24"/>
        </w:rPr>
        <w:t>rant, local authorities have been allocated £325 million additional high needs funding for 202</w:t>
      </w:r>
      <w:r w:rsidR="00915A7A">
        <w:rPr>
          <w:rFonts w:cs="Calibri"/>
          <w:sz w:val="24"/>
          <w:szCs w:val="24"/>
        </w:rPr>
        <w:t>2/</w:t>
      </w:r>
      <w:r w:rsidRPr="00A654EC">
        <w:rPr>
          <w:rFonts w:cs="Calibri"/>
          <w:sz w:val="24"/>
          <w:szCs w:val="24"/>
        </w:rPr>
        <w:t>23, on top of the dedicated schools grant high needs block allocations, calculated under the national funding formula.</w:t>
      </w:r>
    </w:p>
    <w:p w14:paraId="575867A2" w14:textId="77777777" w:rsidR="00A30180" w:rsidRPr="00A64C31" w:rsidRDefault="00A30180" w:rsidP="00A654EC">
      <w:pPr>
        <w:rPr>
          <w:rFonts w:cs="Calibri"/>
          <w:sz w:val="24"/>
          <w:szCs w:val="24"/>
        </w:rPr>
      </w:pPr>
      <w:r w:rsidRPr="00A64C31">
        <w:rPr>
          <w:rFonts w:cs="Calibri"/>
          <w:sz w:val="24"/>
          <w:szCs w:val="24"/>
        </w:rPr>
        <w:t>The base funding rates for 5-16 schools will be:</w:t>
      </w:r>
    </w:p>
    <w:p w14:paraId="758CA011"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basic per-pupil rate of £97 for primary pupils</w:t>
      </w:r>
    </w:p>
    <w:p w14:paraId="2EE5B3CC"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basic per-pupil rate of £137 for key stage 3 pupils</w:t>
      </w:r>
    </w:p>
    <w:p w14:paraId="3D2F6A42"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basic per-pupil rate of £155 for key stage 4 pupils</w:t>
      </w:r>
    </w:p>
    <w:p w14:paraId="5F0C34F3"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lump sum of £3,680</w:t>
      </w:r>
    </w:p>
    <w:p w14:paraId="72583959"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FSM6 per-pupil rate of £85 per eligible primary pupil</w:t>
      </w:r>
    </w:p>
    <w:p w14:paraId="3D9CFAD3" w14:textId="77777777" w:rsidR="00A30180" w:rsidRPr="00A30180" w:rsidRDefault="00A30180" w:rsidP="00A30180">
      <w:pPr>
        <w:numPr>
          <w:ilvl w:val="0"/>
          <w:numId w:val="45"/>
        </w:numPr>
        <w:shd w:val="clear" w:color="auto" w:fill="FFFFFF"/>
        <w:spacing w:after="75" w:line="240" w:lineRule="auto"/>
        <w:ind w:left="300"/>
        <w:rPr>
          <w:rFonts w:cs="Calibri"/>
          <w:bCs/>
          <w:sz w:val="24"/>
          <w:szCs w:val="24"/>
        </w:rPr>
      </w:pPr>
      <w:r w:rsidRPr="00A30180">
        <w:rPr>
          <w:rFonts w:cs="Calibri"/>
          <w:bCs/>
          <w:sz w:val="24"/>
          <w:szCs w:val="24"/>
        </w:rPr>
        <w:t>FSM6 per-pupil rate of £124 per eligible secondary pupil</w:t>
      </w:r>
    </w:p>
    <w:p w14:paraId="4A4F5548" w14:textId="3D1649D2" w:rsidR="00A30180" w:rsidRPr="00A64C31" w:rsidRDefault="00A30180" w:rsidP="00A654EC">
      <w:pPr>
        <w:rPr>
          <w:rFonts w:cs="Calibri"/>
          <w:sz w:val="24"/>
          <w:szCs w:val="24"/>
        </w:rPr>
      </w:pPr>
      <w:r w:rsidRPr="00A64C31">
        <w:rPr>
          <w:rFonts w:cs="Calibri"/>
          <w:sz w:val="24"/>
          <w:szCs w:val="24"/>
        </w:rPr>
        <w:t>Additionally</w:t>
      </w:r>
      <w:r w:rsidR="00915A7A">
        <w:rPr>
          <w:rFonts w:cs="Calibri"/>
          <w:sz w:val="24"/>
          <w:szCs w:val="24"/>
        </w:rPr>
        <w:t>,</w:t>
      </w:r>
      <w:r w:rsidR="008464EC">
        <w:rPr>
          <w:rFonts w:cs="Calibri"/>
          <w:sz w:val="24"/>
          <w:szCs w:val="24"/>
        </w:rPr>
        <w:t xml:space="preserve"> </w:t>
      </w:r>
      <w:r w:rsidRPr="00A64C31">
        <w:rPr>
          <w:rFonts w:cs="Calibri"/>
          <w:sz w:val="24"/>
          <w:szCs w:val="24"/>
        </w:rPr>
        <w:t>16 to 19 schools and academies</w:t>
      </w:r>
      <w:r w:rsidR="00915A7A">
        <w:rPr>
          <w:rFonts w:cs="Calibri"/>
          <w:sz w:val="24"/>
          <w:szCs w:val="24"/>
        </w:rPr>
        <w:t xml:space="preserve"> </w:t>
      </w:r>
      <w:r w:rsidRPr="00A64C31">
        <w:rPr>
          <w:rFonts w:cs="Calibri"/>
          <w:sz w:val="24"/>
          <w:szCs w:val="24"/>
        </w:rPr>
        <w:t xml:space="preserve">will receive £35 per </w:t>
      </w:r>
      <w:r w:rsidR="00E16D9D" w:rsidRPr="00A64C31">
        <w:rPr>
          <w:rFonts w:cs="Calibri"/>
          <w:sz w:val="24"/>
          <w:szCs w:val="24"/>
        </w:rPr>
        <w:t xml:space="preserve">post-16 </w:t>
      </w:r>
      <w:r w:rsidRPr="00A64C31">
        <w:rPr>
          <w:rFonts w:cs="Calibri"/>
          <w:sz w:val="24"/>
          <w:szCs w:val="24"/>
        </w:rPr>
        <w:t>student.</w:t>
      </w:r>
    </w:p>
    <w:p w14:paraId="608782D2" w14:textId="77777777" w:rsidR="0090396E" w:rsidRPr="00A847B1" w:rsidRDefault="0090396E" w:rsidP="0090396E">
      <w:pPr>
        <w:pStyle w:val="NoSpacing"/>
        <w:rPr>
          <w:rFonts w:cs="Calibri"/>
          <w:b/>
          <w:sz w:val="24"/>
          <w:szCs w:val="24"/>
        </w:rPr>
      </w:pPr>
      <w:r w:rsidRPr="00A847B1">
        <w:rPr>
          <w:rFonts w:cs="Calibri"/>
          <w:b/>
          <w:sz w:val="24"/>
          <w:szCs w:val="24"/>
        </w:rPr>
        <w:t xml:space="preserve">Government </w:t>
      </w:r>
      <w:r w:rsidR="008B1519">
        <w:rPr>
          <w:rFonts w:cs="Calibri"/>
          <w:b/>
          <w:sz w:val="24"/>
          <w:szCs w:val="24"/>
        </w:rPr>
        <w:t xml:space="preserve">National </w:t>
      </w:r>
      <w:r w:rsidRPr="00A847B1">
        <w:rPr>
          <w:rFonts w:cs="Calibri"/>
          <w:b/>
          <w:sz w:val="24"/>
          <w:szCs w:val="24"/>
        </w:rPr>
        <w:t xml:space="preserve">Funding </w:t>
      </w:r>
      <w:r w:rsidR="008B1519">
        <w:rPr>
          <w:rFonts w:cs="Calibri"/>
          <w:b/>
          <w:sz w:val="24"/>
          <w:szCs w:val="24"/>
        </w:rPr>
        <w:t xml:space="preserve">Formula </w:t>
      </w:r>
      <w:r w:rsidRPr="00A847B1">
        <w:rPr>
          <w:rFonts w:cs="Calibri"/>
          <w:b/>
          <w:sz w:val="24"/>
          <w:szCs w:val="24"/>
        </w:rPr>
        <w:t xml:space="preserve">Expectations </w:t>
      </w:r>
    </w:p>
    <w:p w14:paraId="49B2A00F" w14:textId="77777777" w:rsidR="0090396E" w:rsidRPr="00A847B1" w:rsidRDefault="0090396E" w:rsidP="0090396E">
      <w:pPr>
        <w:pStyle w:val="NoSpacing"/>
        <w:rPr>
          <w:rFonts w:cs="Calibri"/>
          <w:bCs/>
          <w:sz w:val="24"/>
          <w:szCs w:val="24"/>
        </w:rPr>
      </w:pPr>
    </w:p>
    <w:p w14:paraId="64B33D42" w14:textId="13804927" w:rsidR="0090396E" w:rsidRPr="00A64C31" w:rsidRDefault="0090396E" w:rsidP="0090396E">
      <w:pPr>
        <w:pStyle w:val="NoSpacing"/>
        <w:rPr>
          <w:rFonts w:cs="Calibri"/>
          <w:sz w:val="24"/>
          <w:szCs w:val="24"/>
        </w:rPr>
      </w:pPr>
      <w:r w:rsidRPr="00A64C31">
        <w:rPr>
          <w:rFonts w:cs="Calibri"/>
          <w:sz w:val="24"/>
          <w:szCs w:val="24"/>
        </w:rPr>
        <w:t xml:space="preserve">Every school </w:t>
      </w:r>
      <w:r w:rsidR="00E16D9D" w:rsidRPr="00A64C31">
        <w:rPr>
          <w:rFonts w:cs="Calibri"/>
          <w:sz w:val="24"/>
          <w:szCs w:val="24"/>
        </w:rPr>
        <w:t>must</w:t>
      </w:r>
      <w:r w:rsidR="00454B32" w:rsidRPr="00A64C31">
        <w:rPr>
          <w:rFonts w:cs="Calibri"/>
          <w:sz w:val="24"/>
          <w:szCs w:val="24"/>
        </w:rPr>
        <w:t xml:space="preserve"> </w:t>
      </w:r>
      <w:r w:rsidRPr="00A64C31">
        <w:rPr>
          <w:rFonts w:cs="Calibri"/>
          <w:sz w:val="24"/>
          <w:szCs w:val="24"/>
        </w:rPr>
        <w:t>receive a minimum</w:t>
      </w:r>
      <w:r w:rsidR="00875318" w:rsidRPr="00A64C31">
        <w:rPr>
          <w:rFonts w:cs="Calibri"/>
          <w:sz w:val="24"/>
          <w:szCs w:val="24"/>
        </w:rPr>
        <w:t xml:space="preserve"> of £5,</w:t>
      </w:r>
      <w:r w:rsidR="00587026" w:rsidRPr="00A64C31">
        <w:rPr>
          <w:rFonts w:cs="Calibri"/>
          <w:sz w:val="24"/>
          <w:szCs w:val="24"/>
        </w:rPr>
        <w:t>525</w:t>
      </w:r>
      <w:r w:rsidRPr="00A64C31">
        <w:rPr>
          <w:rFonts w:cs="Calibri"/>
          <w:sz w:val="24"/>
          <w:szCs w:val="24"/>
        </w:rPr>
        <w:t xml:space="preserve"> per-pupil funding for secondary schools and £4,</w:t>
      </w:r>
      <w:r w:rsidR="00700601" w:rsidRPr="00A64C31">
        <w:rPr>
          <w:rFonts w:cs="Calibri"/>
          <w:sz w:val="24"/>
          <w:szCs w:val="24"/>
        </w:rPr>
        <w:t>265</w:t>
      </w:r>
      <w:r w:rsidRPr="00A64C31">
        <w:rPr>
          <w:rFonts w:cs="Calibri"/>
          <w:sz w:val="24"/>
          <w:szCs w:val="24"/>
        </w:rPr>
        <w:t xml:space="preserve"> for primary schools</w:t>
      </w:r>
      <w:r w:rsidR="003A3D5F" w:rsidRPr="00A64C31">
        <w:rPr>
          <w:rFonts w:cs="Calibri"/>
          <w:sz w:val="24"/>
          <w:szCs w:val="24"/>
        </w:rPr>
        <w:t xml:space="preserve"> (KS3: £5,321, KS4: £5,831)</w:t>
      </w:r>
      <w:r w:rsidRPr="00A64C31">
        <w:rPr>
          <w:rFonts w:cs="Calibri"/>
          <w:sz w:val="24"/>
          <w:szCs w:val="24"/>
        </w:rPr>
        <w:t xml:space="preserve">.  This </w:t>
      </w:r>
      <w:r w:rsidR="003A3D5F" w:rsidRPr="00A64C31">
        <w:rPr>
          <w:rFonts w:cs="Calibri"/>
          <w:sz w:val="24"/>
          <w:szCs w:val="24"/>
        </w:rPr>
        <w:t xml:space="preserve">has been reflected in </w:t>
      </w:r>
      <w:r w:rsidR="00B31D31" w:rsidRPr="00A64C31">
        <w:rPr>
          <w:rFonts w:cs="Calibri"/>
          <w:sz w:val="24"/>
          <w:szCs w:val="24"/>
        </w:rPr>
        <w:t xml:space="preserve">the </w:t>
      </w:r>
      <w:r w:rsidR="003A3D5F" w:rsidRPr="00A64C31">
        <w:rPr>
          <w:rFonts w:cs="Calibri"/>
          <w:sz w:val="24"/>
          <w:szCs w:val="24"/>
        </w:rPr>
        <w:t>APT</w:t>
      </w:r>
      <w:r w:rsidR="00B31D31" w:rsidRPr="00A64C31">
        <w:rPr>
          <w:rFonts w:cs="Calibri"/>
          <w:sz w:val="24"/>
          <w:szCs w:val="24"/>
        </w:rPr>
        <w:t xml:space="preserve">. </w:t>
      </w:r>
    </w:p>
    <w:p w14:paraId="4B41F6B3" w14:textId="77777777" w:rsidR="0092130E" w:rsidRDefault="0092130E" w:rsidP="0090396E">
      <w:pPr>
        <w:pStyle w:val="NoSpacing"/>
        <w:rPr>
          <w:rFonts w:cs="Calibri"/>
          <w:b/>
          <w:sz w:val="24"/>
          <w:szCs w:val="24"/>
        </w:rPr>
      </w:pPr>
    </w:p>
    <w:p w14:paraId="3CA2162E" w14:textId="77777777" w:rsidR="00E67013" w:rsidRDefault="00851CB4" w:rsidP="0090396E">
      <w:pPr>
        <w:pStyle w:val="NoSpacing"/>
        <w:rPr>
          <w:rFonts w:cs="Calibri"/>
          <w:b/>
          <w:sz w:val="24"/>
          <w:szCs w:val="24"/>
        </w:rPr>
      </w:pPr>
      <w:r>
        <w:rPr>
          <w:rFonts w:cs="Calibri"/>
          <w:b/>
          <w:sz w:val="24"/>
          <w:szCs w:val="24"/>
        </w:rPr>
        <w:t xml:space="preserve">Birmingham </w:t>
      </w:r>
      <w:r w:rsidR="00B055B6">
        <w:rPr>
          <w:rFonts w:cs="Calibri"/>
          <w:b/>
          <w:sz w:val="24"/>
          <w:szCs w:val="24"/>
        </w:rPr>
        <w:t>M</w:t>
      </w:r>
      <w:r w:rsidR="000D43EA">
        <w:rPr>
          <w:rFonts w:cs="Calibri"/>
          <w:b/>
          <w:sz w:val="24"/>
          <w:szCs w:val="24"/>
        </w:rPr>
        <w:t>ethodologies</w:t>
      </w:r>
    </w:p>
    <w:p w14:paraId="3139C4CB" w14:textId="77777777" w:rsidR="000D43EA" w:rsidRDefault="000D43EA" w:rsidP="0090396E">
      <w:pPr>
        <w:pStyle w:val="NoSpacing"/>
        <w:rPr>
          <w:rFonts w:cs="Calibri"/>
          <w:b/>
          <w:sz w:val="24"/>
          <w:szCs w:val="24"/>
        </w:rPr>
      </w:pPr>
    </w:p>
    <w:p w14:paraId="7D8E3929" w14:textId="5433C92A" w:rsidR="00915A7A" w:rsidRPr="00A64C31" w:rsidRDefault="00FC01EA" w:rsidP="0090396E">
      <w:pPr>
        <w:pStyle w:val="NoSpacing"/>
        <w:rPr>
          <w:rFonts w:cs="Calibri"/>
          <w:sz w:val="24"/>
          <w:szCs w:val="24"/>
        </w:rPr>
      </w:pPr>
      <w:r w:rsidRPr="00A64C31">
        <w:rPr>
          <w:rFonts w:cs="Calibri"/>
          <w:sz w:val="24"/>
          <w:szCs w:val="24"/>
        </w:rPr>
        <w:t>Apart from applying the rate specified in NFF Guidance, w</w:t>
      </w:r>
      <w:r w:rsidR="005528F4" w:rsidRPr="00A64C31">
        <w:rPr>
          <w:rFonts w:cs="Calibri"/>
          <w:sz w:val="24"/>
          <w:szCs w:val="24"/>
        </w:rPr>
        <w:t xml:space="preserve">e have </w:t>
      </w:r>
      <w:r w:rsidRPr="00A64C31">
        <w:rPr>
          <w:rFonts w:cs="Calibri"/>
          <w:sz w:val="24"/>
          <w:szCs w:val="24"/>
        </w:rPr>
        <w:t xml:space="preserve">also </w:t>
      </w:r>
      <w:r w:rsidR="00A64C31">
        <w:rPr>
          <w:rFonts w:cs="Calibri"/>
          <w:sz w:val="24"/>
          <w:szCs w:val="24"/>
        </w:rPr>
        <w:t xml:space="preserve">increased </w:t>
      </w:r>
      <w:r w:rsidR="005528F4" w:rsidRPr="00A64C31">
        <w:rPr>
          <w:rFonts w:cs="Calibri"/>
          <w:sz w:val="24"/>
          <w:szCs w:val="24"/>
        </w:rPr>
        <w:t xml:space="preserve">the following </w:t>
      </w:r>
      <w:r w:rsidR="00A64C31">
        <w:rPr>
          <w:rFonts w:cs="Calibri"/>
          <w:sz w:val="24"/>
          <w:szCs w:val="24"/>
        </w:rPr>
        <w:t>factors</w:t>
      </w:r>
      <w:r w:rsidR="005528F4" w:rsidRPr="00A64C31">
        <w:rPr>
          <w:rFonts w:cs="Calibri"/>
          <w:sz w:val="24"/>
          <w:szCs w:val="24"/>
        </w:rPr>
        <w:t xml:space="preserve"> </w:t>
      </w:r>
      <w:r w:rsidR="008A3EB3" w:rsidRPr="00A64C31">
        <w:rPr>
          <w:rFonts w:cs="Calibri"/>
          <w:sz w:val="24"/>
          <w:szCs w:val="24"/>
        </w:rPr>
        <w:t xml:space="preserve">in the APT: </w:t>
      </w:r>
    </w:p>
    <w:p w14:paraId="6CD2308D" w14:textId="70E54F5F" w:rsidR="000961FB" w:rsidRDefault="008A3EB3" w:rsidP="008A3EB3">
      <w:pPr>
        <w:pStyle w:val="NoSpacing"/>
        <w:numPr>
          <w:ilvl w:val="0"/>
          <w:numId w:val="44"/>
        </w:numPr>
        <w:rPr>
          <w:rFonts w:cs="Calibri"/>
          <w:bCs/>
          <w:sz w:val="24"/>
          <w:szCs w:val="24"/>
        </w:rPr>
      </w:pPr>
      <w:r>
        <w:rPr>
          <w:rFonts w:cs="Calibri"/>
          <w:bCs/>
          <w:sz w:val="24"/>
          <w:szCs w:val="24"/>
        </w:rPr>
        <w:t>De</w:t>
      </w:r>
      <w:r w:rsidR="00265605">
        <w:rPr>
          <w:rFonts w:cs="Calibri"/>
          <w:bCs/>
          <w:sz w:val="24"/>
          <w:szCs w:val="24"/>
        </w:rPr>
        <w:t xml:space="preserve"> D</w:t>
      </w:r>
      <w:r>
        <w:rPr>
          <w:rFonts w:cs="Calibri"/>
          <w:bCs/>
          <w:sz w:val="24"/>
          <w:szCs w:val="24"/>
        </w:rPr>
        <w:t>elegation</w:t>
      </w:r>
      <w:r w:rsidR="0010247A">
        <w:rPr>
          <w:rFonts w:cs="Calibri"/>
          <w:bCs/>
          <w:sz w:val="24"/>
          <w:szCs w:val="24"/>
        </w:rPr>
        <w:t xml:space="preserve">: increase </w:t>
      </w:r>
      <w:r>
        <w:rPr>
          <w:rFonts w:cs="Calibri"/>
          <w:bCs/>
          <w:sz w:val="24"/>
          <w:szCs w:val="24"/>
        </w:rPr>
        <w:t xml:space="preserve">by 3% in line with general NFF </w:t>
      </w:r>
      <w:r w:rsidR="000961FB">
        <w:rPr>
          <w:rFonts w:cs="Calibri"/>
          <w:bCs/>
          <w:sz w:val="24"/>
          <w:szCs w:val="24"/>
        </w:rPr>
        <w:t>factor increase rate</w:t>
      </w:r>
    </w:p>
    <w:p w14:paraId="569D88A8" w14:textId="77777777" w:rsidR="000D43EA" w:rsidRDefault="00145631" w:rsidP="008A3EB3">
      <w:pPr>
        <w:pStyle w:val="NoSpacing"/>
        <w:numPr>
          <w:ilvl w:val="0"/>
          <w:numId w:val="44"/>
        </w:numPr>
        <w:rPr>
          <w:rFonts w:cs="Calibri"/>
          <w:bCs/>
          <w:sz w:val="24"/>
          <w:szCs w:val="24"/>
        </w:rPr>
      </w:pPr>
      <w:r>
        <w:rPr>
          <w:rFonts w:cs="Calibri"/>
          <w:bCs/>
          <w:sz w:val="24"/>
          <w:szCs w:val="24"/>
        </w:rPr>
        <w:t>Split sites</w:t>
      </w:r>
      <w:r w:rsidR="0010247A">
        <w:rPr>
          <w:rFonts w:cs="Calibri"/>
          <w:bCs/>
          <w:sz w:val="24"/>
          <w:szCs w:val="24"/>
        </w:rPr>
        <w:t>: increase by 3% in line with general NFF factor increase rate</w:t>
      </w:r>
    </w:p>
    <w:p w14:paraId="7490838C" w14:textId="61B9200E" w:rsidR="0010247A" w:rsidRDefault="0010247A" w:rsidP="008A3EB3">
      <w:pPr>
        <w:pStyle w:val="NoSpacing"/>
        <w:numPr>
          <w:ilvl w:val="0"/>
          <w:numId w:val="44"/>
        </w:numPr>
        <w:rPr>
          <w:rFonts w:cs="Calibri"/>
          <w:bCs/>
          <w:sz w:val="24"/>
          <w:szCs w:val="24"/>
        </w:rPr>
      </w:pPr>
      <w:r>
        <w:rPr>
          <w:rFonts w:cs="Calibri"/>
          <w:bCs/>
          <w:sz w:val="24"/>
          <w:szCs w:val="24"/>
        </w:rPr>
        <w:t>PFI</w:t>
      </w:r>
      <w:r w:rsidR="00153779">
        <w:rPr>
          <w:rFonts w:cs="Calibri"/>
          <w:bCs/>
          <w:sz w:val="24"/>
          <w:szCs w:val="24"/>
        </w:rPr>
        <w:t xml:space="preserve"> top ups for PPP1 schools: increase by 7.2% in line with ONS (Office </w:t>
      </w:r>
      <w:r w:rsidR="009E767C">
        <w:rPr>
          <w:rFonts w:cs="Calibri"/>
          <w:bCs/>
          <w:sz w:val="24"/>
          <w:szCs w:val="24"/>
        </w:rPr>
        <w:t xml:space="preserve">for </w:t>
      </w:r>
      <w:r w:rsidR="00153779">
        <w:rPr>
          <w:rFonts w:cs="Calibri"/>
          <w:bCs/>
          <w:sz w:val="24"/>
          <w:szCs w:val="24"/>
        </w:rPr>
        <w:t xml:space="preserve">National Statistics) </w:t>
      </w:r>
      <w:r w:rsidR="009E767C">
        <w:rPr>
          <w:rFonts w:cs="Calibri"/>
          <w:bCs/>
          <w:sz w:val="24"/>
          <w:szCs w:val="24"/>
        </w:rPr>
        <w:t xml:space="preserve">published </w:t>
      </w:r>
      <w:r w:rsidR="00E16D9D">
        <w:rPr>
          <w:rFonts w:cs="Calibri"/>
          <w:bCs/>
          <w:sz w:val="24"/>
          <w:szCs w:val="24"/>
        </w:rPr>
        <w:t xml:space="preserve">RPI(X) </w:t>
      </w:r>
      <w:r w:rsidR="009E767C">
        <w:rPr>
          <w:rFonts w:cs="Calibri"/>
          <w:bCs/>
          <w:sz w:val="24"/>
          <w:szCs w:val="24"/>
        </w:rPr>
        <w:t>rate at November 2021</w:t>
      </w:r>
      <w:r w:rsidR="00915A7A">
        <w:rPr>
          <w:rFonts w:cs="Calibri"/>
          <w:bCs/>
          <w:sz w:val="24"/>
          <w:szCs w:val="24"/>
        </w:rPr>
        <w:t>.</w:t>
      </w:r>
    </w:p>
    <w:p w14:paraId="16F36BEE" w14:textId="77777777" w:rsidR="00454B32" w:rsidRDefault="00454B32" w:rsidP="0090396E">
      <w:pPr>
        <w:pStyle w:val="NoSpacing"/>
        <w:rPr>
          <w:rFonts w:cs="Calibri"/>
          <w:b/>
          <w:sz w:val="24"/>
          <w:szCs w:val="24"/>
        </w:rPr>
      </w:pPr>
    </w:p>
    <w:p w14:paraId="746166EF" w14:textId="03ACCAF9" w:rsidR="000D43EA" w:rsidRDefault="00E16D9D" w:rsidP="0090396E">
      <w:pPr>
        <w:pStyle w:val="NoSpacing"/>
        <w:rPr>
          <w:rFonts w:cs="Calibri"/>
          <w:b/>
          <w:sz w:val="24"/>
          <w:szCs w:val="24"/>
        </w:rPr>
      </w:pPr>
      <w:r>
        <w:rPr>
          <w:rFonts w:cs="Calibri"/>
          <w:b/>
          <w:sz w:val="24"/>
          <w:szCs w:val="24"/>
        </w:rPr>
        <w:t>Base funding model at National Funding Formula</w:t>
      </w:r>
    </w:p>
    <w:p w14:paraId="57B6D5A9" w14:textId="77777777" w:rsidR="00E16D9D" w:rsidRDefault="00E16D9D" w:rsidP="0090396E">
      <w:pPr>
        <w:pStyle w:val="NoSpacing"/>
        <w:rPr>
          <w:rFonts w:cs="Calibri"/>
          <w:b/>
          <w:sz w:val="24"/>
          <w:szCs w:val="24"/>
        </w:rPr>
      </w:pPr>
    </w:p>
    <w:p w14:paraId="1C2F9188" w14:textId="439345C2" w:rsidR="00E16D9D" w:rsidRPr="00A64C31" w:rsidRDefault="00E16D9D" w:rsidP="00E16D9D">
      <w:pPr>
        <w:pStyle w:val="NoSpacing"/>
        <w:rPr>
          <w:rFonts w:cs="Calibri"/>
          <w:sz w:val="24"/>
          <w:szCs w:val="24"/>
        </w:rPr>
      </w:pPr>
      <w:r w:rsidRPr="00A64C31">
        <w:rPr>
          <w:rFonts w:cs="Calibri"/>
          <w:sz w:val="24"/>
          <w:szCs w:val="24"/>
        </w:rPr>
        <w:t>Apply the NFF including the primary AWPU rate at £3,217, MFG @2% with no capping or scaling. This NFF base model results in total cost of £1,031,</w:t>
      </w:r>
      <w:r w:rsidR="00ED7848" w:rsidRPr="00A64C31">
        <w:rPr>
          <w:rFonts w:cs="Calibri"/>
          <w:sz w:val="24"/>
          <w:szCs w:val="24"/>
        </w:rPr>
        <w:t>13</w:t>
      </w:r>
      <w:r w:rsidR="00A401B4">
        <w:rPr>
          <w:rFonts w:cs="Calibri"/>
          <w:sz w:val="24"/>
          <w:szCs w:val="24"/>
        </w:rPr>
        <w:t>1</w:t>
      </w:r>
      <w:r w:rsidR="00ED7848" w:rsidRPr="00A64C31">
        <w:rPr>
          <w:rFonts w:cs="Calibri"/>
          <w:sz w:val="24"/>
          <w:szCs w:val="24"/>
        </w:rPr>
        <w:t>,375</w:t>
      </w:r>
      <w:r w:rsidR="00CA473C" w:rsidRPr="00A64C31">
        <w:rPr>
          <w:rFonts w:cs="Calibri"/>
          <w:sz w:val="24"/>
          <w:szCs w:val="24"/>
        </w:rPr>
        <w:t xml:space="preserve"> with </w:t>
      </w:r>
      <w:r w:rsidR="003C76AD" w:rsidRPr="00A64C31">
        <w:rPr>
          <w:rFonts w:cs="Calibri"/>
          <w:sz w:val="24"/>
          <w:szCs w:val="24"/>
        </w:rPr>
        <w:t>£31</w:t>
      </w:r>
      <w:r w:rsidR="004938A3">
        <w:rPr>
          <w:rFonts w:cs="Calibri"/>
          <w:sz w:val="24"/>
          <w:szCs w:val="24"/>
        </w:rPr>
        <w:t>1</w:t>
      </w:r>
      <w:r w:rsidR="003C76AD" w:rsidRPr="00A64C31">
        <w:rPr>
          <w:rFonts w:cs="Calibri"/>
          <w:sz w:val="24"/>
          <w:szCs w:val="24"/>
        </w:rPr>
        <w:t>,020</w:t>
      </w:r>
      <w:r w:rsidRPr="00A64C31">
        <w:rPr>
          <w:rFonts w:cs="Calibri"/>
          <w:sz w:val="24"/>
          <w:szCs w:val="24"/>
        </w:rPr>
        <w:t xml:space="preserve"> to allocate</w:t>
      </w:r>
      <w:r w:rsidR="00ED7848" w:rsidRPr="00A64C31">
        <w:rPr>
          <w:rFonts w:cs="Calibri"/>
          <w:sz w:val="24"/>
          <w:szCs w:val="24"/>
        </w:rPr>
        <w:t>.</w:t>
      </w:r>
      <w:r w:rsidRPr="00A64C31">
        <w:rPr>
          <w:rFonts w:cs="Calibri"/>
          <w:sz w:val="24"/>
          <w:szCs w:val="24"/>
        </w:rPr>
        <w:t xml:space="preserve"> </w:t>
      </w:r>
    </w:p>
    <w:p w14:paraId="67EEDFC7" w14:textId="77777777" w:rsidR="00E16D9D" w:rsidRDefault="00E16D9D" w:rsidP="0090396E">
      <w:pPr>
        <w:pStyle w:val="NoSpacing"/>
        <w:rPr>
          <w:rFonts w:cs="Calibri"/>
          <w:b/>
          <w:sz w:val="24"/>
          <w:szCs w:val="24"/>
        </w:rPr>
      </w:pPr>
    </w:p>
    <w:p w14:paraId="520BB92C" w14:textId="77777777" w:rsidR="00E16D9D" w:rsidRDefault="00E16D9D" w:rsidP="0090396E">
      <w:pPr>
        <w:pStyle w:val="NoSpacing"/>
        <w:rPr>
          <w:rFonts w:cs="Calibri"/>
          <w:b/>
          <w:sz w:val="24"/>
          <w:szCs w:val="24"/>
        </w:rPr>
      </w:pPr>
    </w:p>
    <w:p w14:paraId="26CBABB2" w14:textId="0CFB2C48" w:rsidR="00E67013" w:rsidRDefault="00B6590D" w:rsidP="0090396E">
      <w:pPr>
        <w:pStyle w:val="NoSpacing"/>
        <w:rPr>
          <w:rFonts w:cs="Calibri"/>
          <w:b/>
          <w:sz w:val="24"/>
          <w:szCs w:val="24"/>
        </w:rPr>
      </w:pPr>
      <w:r>
        <w:rPr>
          <w:rFonts w:cs="Calibri"/>
          <w:b/>
          <w:sz w:val="24"/>
          <w:szCs w:val="24"/>
        </w:rPr>
        <w:br w:type="page"/>
      </w:r>
      <w:r w:rsidR="00B055B6" w:rsidRPr="009A1925">
        <w:rPr>
          <w:rFonts w:cs="Calibri"/>
          <w:b/>
          <w:sz w:val="24"/>
          <w:szCs w:val="24"/>
        </w:rPr>
        <w:lastRenderedPageBreak/>
        <w:t>O</w:t>
      </w:r>
      <w:r w:rsidR="009A1925">
        <w:rPr>
          <w:rFonts w:cs="Calibri"/>
          <w:b/>
          <w:sz w:val="24"/>
          <w:szCs w:val="24"/>
        </w:rPr>
        <w:t xml:space="preserve">ptions: </w:t>
      </w:r>
    </w:p>
    <w:p w14:paraId="6E8695EA" w14:textId="77777777" w:rsidR="009A1925" w:rsidRDefault="009A1925" w:rsidP="0090396E">
      <w:pPr>
        <w:pStyle w:val="NoSpacing"/>
        <w:rPr>
          <w:rFonts w:cs="Calibri"/>
          <w:b/>
          <w:sz w:val="24"/>
          <w:szCs w:val="24"/>
        </w:rPr>
      </w:pPr>
    </w:p>
    <w:p w14:paraId="3C32326F" w14:textId="590C784A" w:rsidR="009A1925" w:rsidRDefault="009A1925" w:rsidP="0090396E">
      <w:pPr>
        <w:pStyle w:val="NoSpacing"/>
        <w:rPr>
          <w:rFonts w:cs="Calibri"/>
          <w:b/>
          <w:sz w:val="24"/>
          <w:szCs w:val="24"/>
        </w:rPr>
      </w:pPr>
      <w:r>
        <w:rPr>
          <w:rFonts w:cs="Calibri"/>
          <w:b/>
          <w:sz w:val="24"/>
          <w:szCs w:val="24"/>
        </w:rPr>
        <w:t xml:space="preserve">The </w:t>
      </w:r>
      <w:r w:rsidR="00A26845">
        <w:rPr>
          <w:rFonts w:cs="Calibri"/>
          <w:b/>
          <w:sz w:val="24"/>
          <w:szCs w:val="24"/>
        </w:rPr>
        <w:t xml:space="preserve">table below summaries the </w:t>
      </w:r>
      <w:r w:rsidR="009C7824">
        <w:rPr>
          <w:rFonts w:cs="Calibri"/>
          <w:b/>
          <w:sz w:val="24"/>
          <w:szCs w:val="24"/>
        </w:rPr>
        <w:t>four</w:t>
      </w:r>
      <w:r w:rsidR="00BD5C89">
        <w:rPr>
          <w:rFonts w:cs="Calibri"/>
          <w:b/>
          <w:sz w:val="24"/>
          <w:szCs w:val="24"/>
        </w:rPr>
        <w:t xml:space="preserve"> </w:t>
      </w:r>
      <w:r w:rsidR="00A26845">
        <w:rPr>
          <w:rFonts w:cs="Calibri"/>
          <w:b/>
          <w:sz w:val="24"/>
          <w:szCs w:val="24"/>
        </w:rPr>
        <w:t xml:space="preserve">options that we would ask School Forum to consider: </w:t>
      </w:r>
    </w:p>
    <w:p w14:paraId="6CC5B30C" w14:textId="770951A2" w:rsidR="00A26845" w:rsidRDefault="00A26845" w:rsidP="0090396E">
      <w:pPr>
        <w:pStyle w:val="NoSpacing"/>
        <w:rPr>
          <w:rFonts w:cs="Calibri"/>
          <w:b/>
          <w:sz w:val="24"/>
          <w:szCs w:val="24"/>
        </w:rPr>
      </w:pPr>
    </w:p>
    <w:p w14:paraId="3B8DA4D8" w14:textId="69368BC1" w:rsidR="007700EF" w:rsidRDefault="00A10347" w:rsidP="00A10347">
      <w:pPr>
        <w:pStyle w:val="NoSpacing"/>
        <w:ind w:left="-284"/>
        <w:rPr>
          <w:rFonts w:cs="Calibri"/>
          <w:b/>
          <w:noProof/>
          <w:sz w:val="24"/>
          <w:szCs w:val="24"/>
        </w:rPr>
      </w:pPr>
      <w:bookmarkStart w:id="0" w:name="_GoBack"/>
      <w:r w:rsidRPr="00A10347">
        <w:rPr>
          <w:rFonts w:cs="Calibri"/>
          <w:b/>
          <w:noProof/>
          <w:sz w:val="24"/>
          <w:szCs w:val="24"/>
        </w:rPr>
        <w:drawing>
          <wp:inline distT="0" distB="0" distL="0" distR="0" wp14:anchorId="6C9C4F98" wp14:editId="17DC502C">
            <wp:extent cx="6289482" cy="2339238"/>
            <wp:effectExtent l="0" t="0" r="0" b="4445"/>
            <wp:docPr id="1" name="Picture 1" descr="Table to summarise the four options Schools Forum should consider" title="Table of op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to summarise the four options Schools Forum should consider" title="Table of options">
                      <a:extLst>
                        <a:ext uri="{C183D7F6-B498-43B3-948B-1728B52AA6E4}">
                          <adec:decorative xmlns:adec="http://schemas.microsoft.com/office/drawing/2017/decorative" val="0"/>
                        </a:ext>
                      </a:extLst>
                    </pic:cNvPr>
                    <pic:cNvPicPr/>
                  </pic:nvPicPr>
                  <pic:blipFill>
                    <a:blip r:embed="rId13"/>
                    <a:stretch>
                      <a:fillRect/>
                    </a:stretch>
                  </pic:blipFill>
                  <pic:spPr>
                    <a:xfrm>
                      <a:off x="0" y="0"/>
                      <a:ext cx="6365038" cy="2367339"/>
                    </a:xfrm>
                    <a:prstGeom prst="rect">
                      <a:avLst/>
                    </a:prstGeom>
                  </pic:spPr>
                </pic:pic>
              </a:graphicData>
            </a:graphic>
          </wp:inline>
        </w:drawing>
      </w:r>
      <w:bookmarkEnd w:id="0"/>
    </w:p>
    <w:p w14:paraId="6DFF47DC" w14:textId="77777777" w:rsidR="007700EF" w:rsidRDefault="007700EF" w:rsidP="0090396E">
      <w:pPr>
        <w:pStyle w:val="NoSpacing"/>
        <w:rPr>
          <w:rFonts w:cs="Calibri"/>
          <w:b/>
          <w:sz w:val="24"/>
          <w:szCs w:val="24"/>
        </w:rPr>
      </w:pPr>
    </w:p>
    <w:p w14:paraId="0E6C441C" w14:textId="13BE031D" w:rsidR="00C664CE" w:rsidRPr="00C76A0E" w:rsidRDefault="00CE0BF8" w:rsidP="00CE0BF8">
      <w:pPr>
        <w:pStyle w:val="NoSpacing"/>
        <w:rPr>
          <w:rFonts w:cs="Calibri"/>
          <w:bCs/>
          <w:sz w:val="24"/>
          <w:szCs w:val="24"/>
        </w:rPr>
      </w:pPr>
      <w:r>
        <w:rPr>
          <w:rFonts w:cs="Calibri"/>
          <w:b/>
          <w:sz w:val="24"/>
          <w:szCs w:val="24"/>
        </w:rPr>
        <w:t xml:space="preserve">Option </w:t>
      </w:r>
      <w:r w:rsidR="00E16D9D">
        <w:rPr>
          <w:rFonts w:cs="Calibri"/>
          <w:b/>
          <w:sz w:val="24"/>
          <w:szCs w:val="24"/>
        </w:rPr>
        <w:t>1</w:t>
      </w:r>
      <w:r>
        <w:rPr>
          <w:rFonts w:cs="Calibri"/>
          <w:b/>
          <w:sz w:val="24"/>
          <w:szCs w:val="24"/>
        </w:rPr>
        <w:t xml:space="preserve">: </w:t>
      </w:r>
      <w:r w:rsidR="00E16D9D">
        <w:rPr>
          <w:rFonts w:cs="Calibri"/>
          <w:bCs/>
          <w:sz w:val="24"/>
          <w:szCs w:val="24"/>
        </w:rPr>
        <w:t xml:space="preserve"> </w:t>
      </w:r>
      <w:r w:rsidR="00E16D9D" w:rsidRPr="00A64C31">
        <w:rPr>
          <w:rFonts w:cs="Calibri"/>
          <w:sz w:val="24"/>
          <w:szCs w:val="24"/>
        </w:rPr>
        <w:t>An additional £</w:t>
      </w:r>
      <w:r w:rsidR="00D2151D" w:rsidRPr="00A64C31">
        <w:rPr>
          <w:rFonts w:cs="Calibri"/>
          <w:sz w:val="24"/>
          <w:szCs w:val="24"/>
        </w:rPr>
        <w:t>7.7</w:t>
      </w:r>
      <w:r w:rsidR="00114C84">
        <w:rPr>
          <w:rFonts w:cs="Calibri"/>
          <w:sz w:val="24"/>
          <w:szCs w:val="24"/>
        </w:rPr>
        <w:t>8</w:t>
      </w:r>
      <w:r w:rsidR="00E16D9D" w:rsidRPr="00A64C31">
        <w:rPr>
          <w:rFonts w:cs="Calibri"/>
          <w:sz w:val="24"/>
          <w:szCs w:val="24"/>
        </w:rPr>
        <w:t xml:space="preserve"> per pupil added to the primary AWPU to reflect the higher value paid in </w:t>
      </w:r>
      <w:r w:rsidR="00D73AEA" w:rsidRPr="00A654EC">
        <w:rPr>
          <w:rFonts w:cs="Calibri"/>
          <w:sz w:val="24"/>
          <w:szCs w:val="24"/>
        </w:rPr>
        <w:t>2021</w:t>
      </w:r>
      <w:r w:rsidR="00D73AEA">
        <w:rPr>
          <w:rFonts w:cs="Calibri"/>
          <w:sz w:val="24"/>
          <w:szCs w:val="24"/>
        </w:rPr>
        <w:t>/</w:t>
      </w:r>
      <w:r w:rsidR="00D73AEA" w:rsidRPr="00A654EC">
        <w:rPr>
          <w:rFonts w:cs="Calibri"/>
          <w:sz w:val="24"/>
          <w:szCs w:val="24"/>
        </w:rPr>
        <w:t>22</w:t>
      </w:r>
      <w:r w:rsidR="009460FE" w:rsidRPr="00A64C31">
        <w:rPr>
          <w:rFonts w:cs="Calibri"/>
          <w:sz w:val="24"/>
          <w:szCs w:val="24"/>
        </w:rPr>
        <w:t xml:space="preserve">, MFG @2% </w:t>
      </w:r>
      <w:r w:rsidR="00BD1E25" w:rsidRPr="00A64C31">
        <w:rPr>
          <w:rFonts w:cs="Calibri"/>
          <w:sz w:val="24"/>
          <w:szCs w:val="24"/>
        </w:rPr>
        <w:t>with no capping or scaling</w:t>
      </w:r>
      <w:r w:rsidR="00E16D9D" w:rsidRPr="00A64C31">
        <w:rPr>
          <w:rFonts w:cs="Calibri"/>
          <w:sz w:val="24"/>
          <w:szCs w:val="24"/>
        </w:rPr>
        <w:t xml:space="preserve">. </w:t>
      </w:r>
      <w:r w:rsidR="00C664CE" w:rsidRPr="00A64C31">
        <w:rPr>
          <w:rFonts w:cs="Calibri"/>
          <w:sz w:val="24"/>
          <w:szCs w:val="24"/>
        </w:rPr>
        <w:t>This option results in total costs of £1,031,44</w:t>
      </w:r>
      <w:r w:rsidR="00114C84">
        <w:rPr>
          <w:rFonts w:cs="Calibri"/>
          <w:sz w:val="24"/>
          <w:szCs w:val="24"/>
        </w:rPr>
        <w:t>2</w:t>
      </w:r>
      <w:r w:rsidR="00C664CE" w:rsidRPr="00A64C31">
        <w:rPr>
          <w:rFonts w:cs="Calibri"/>
          <w:sz w:val="24"/>
          <w:szCs w:val="24"/>
        </w:rPr>
        <w:t>,</w:t>
      </w:r>
      <w:r w:rsidR="00114C84">
        <w:rPr>
          <w:rFonts w:cs="Calibri"/>
          <w:sz w:val="24"/>
          <w:szCs w:val="24"/>
        </w:rPr>
        <w:t>038</w:t>
      </w:r>
      <w:r w:rsidR="00A07D88" w:rsidRPr="00A64C31">
        <w:rPr>
          <w:rFonts w:cs="Calibri"/>
          <w:sz w:val="24"/>
          <w:szCs w:val="24"/>
        </w:rPr>
        <w:t xml:space="preserve"> </w:t>
      </w:r>
      <w:r w:rsidR="0041767E" w:rsidRPr="00A64C31">
        <w:rPr>
          <w:rFonts w:cs="Calibri"/>
          <w:sz w:val="24"/>
          <w:szCs w:val="24"/>
        </w:rPr>
        <w:t>with £</w:t>
      </w:r>
      <w:r w:rsidR="00311EB3">
        <w:rPr>
          <w:rFonts w:cs="Calibri"/>
          <w:sz w:val="24"/>
          <w:szCs w:val="24"/>
        </w:rPr>
        <w:t>357</w:t>
      </w:r>
      <w:r w:rsidR="00A07D88" w:rsidRPr="00A64C31">
        <w:rPr>
          <w:rFonts w:cs="Calibri"/>
          <w:sz w:val="24"/>
          <w:szCs w:val="24"/>
        </w:rPr>
        <w:t xml:space="preserve"> </w:t>
      </w:r>
      <w:r w:rsidR="0041767E" w:rsidRPr="00A64C31">
        <w:rPr>
          <w:rFonts w:cs="Calibri"/>
          <w:sz w:val="24"/>
          <w:szCs w:val="24"/>
        </w:rPr>
        <w:t>as a balancing figure</w:t>
      </w:r>
      <w:r w:rsidR="00B21AF6" w:rsidRPr="00A64C31">
        <w:rPr>
          <w:rFonts w:cs="Calibri"/>
          <w:sz w:val="24"/>
          <w:szCs w:val="24"/>
        </w:rPr>
        <w:t>.</w:t>
      </w:r>
      <w:r w:rsidR="00C118B2">
        <w:rPr>
          <w:rFonts w:cs="Calibri"/>
          <w:bCs/>
          <w:sz w:val="24"/>
          <w:szCs w:val="24"/>
        </w:rPr>
        <w:t xml:space="preserve"> </w:t>
      </w:r>
    </w:p>
    <w:p w14:paraId="6A7DA017" w14:textId="77777777" w:rsidR="00CE0BF8" w:rsidRDefault="00CE0BF8" w:rsidP="00CE0BF8">
      <w:pPr>
        <w:pStyle w:val="NoSpacing"/>
        <w:rPr>
          <w:rFonts w:cs="Calibri"/>
          <w:b/>
          <w:sz w:val="24"/>
          <w:szCs w:val="24"/>
        </w:rPr>
      </w:pPr>
    </w:p>
    <w:p w14:paraId="70737BDA" w14:textId="6A82F2E2" w:rsidR="00427F2C" w:rsidRDefault="00CE0BF8" w:rsidP="00427F2C">
      <w:pPr>
        <w:pStyle w:val="NoSpacing"/>
        <w:rPr>
          <w:rFonts w:cs="Calibri"/>
          <w:bCs/>
          <w:sz w:val="24"/>
          <w:szCs w:val="24"/>
        </w:rPr>
      </w:pPr>
      <w:r>
        <w:rPr>
          <w:rFonts w:cs="Calibri"/>
          <w:b/>
          <w:sz w:val="24"/>
          <w:szCs w:val="24"/>
        </w:rPr>
        <w:t xml:space="preserve">Option </w:t>
      </w:r>
      <w:r w:rsidR="00E16D9D">
        <w:rPr>
          <w:rFonts w:cs="Calibri"/>
          <w:b/>
          <w:sz w:val="24"/>
          <w:szCs w:val="24"/>
        </w:rPr>
        <w:t>2</w:t>
      </w:r>
      <w:r>
        <w:rPr>
          <w:rFonts w:cs="Calibri"/>
          <w:b/>
          <w:sz w:val="24"/>
          <w:szCs w:val="24"/>
        </w:rPr>
        <w:t>:</w:t>
      </w:r>
      <w:r w:rsidR="00427F2C" w:rsidRPr="00427F2C">
        <w:rPr>
          <w:rFonts w:cs="Calibri"/>
          <w:bCs/>
          <w:sz w:val="24"/>
          <w:szCs w:val="24"/>
        </w:rPr>
        <w:t xml:space="preserve"> </w:t>
      </w:r>
      <w:r w:rsidR="00E16D9D">
        <w:rPr>
          <w:rFonts w:cs="Calibri"/>
          <w:bCs/>
          <w:sz w:val="24"/>
          <w:szCs w:val="24"/>
        </w:rPr>
        <w:t>An additional £81 per primary AWPU to follow DfE guidance in reducing over-NFF payment by 10% each year</w:t>
      </w:r>
      <w:r w:rsidR="00B01023">
        <w:rPr>
          <w:rFonts w:cs="Calibri"/>
          <w:bCs/>
          <w:sz w:val="24"/>
          <w:szCs w:val="24"/>
        </w:rPr>
        <w:t>.</w:t>
      </w:r>
      <w:r w:rsidR="000C283C">
        <w:rPr>
          <w:rFonts w:cs="Calibri"/>
          <w:bCs/>
          <w:sz w:val="24"/>
          <w:szCs w:val="24"/>
        </w:rPr>
        <w:t xml:space="preserve"> </w:t>
      </w:r>
      <w:r w:rsidR="00B01023">
        <w:rPr>
          <w:rFonts w:cs="Calibri"/>
          <w:bCs/>
          <w:sz w:val="24"/>
          <w:szCs w:val="24"/>
        </w:rPr>
        <w:t xml:space="preserve">This </w:t>
      </w:r>
      <w:r w:rsidR="003450B4">
        <w:rPr>
          <w:rFonts w:cs="Calibri"/>
          <w:bCs/>
          <w:sz w:val="24"/>
          <w:szCs w:val="24"/>
        </w:rPr>
        <w:t xml:space="preserve">is </w:t>
      </w:r>
      <w:r w:rsidR="00B01023">
        <w:rPr>
          <w:rFonts w:cs="Calibri"/>
          <w:bCs/>
          <w:sz w:val="24"/>
          <w:szCs w:val="24"/>
        </w:rPr>
        <w:t>only affordable with</w:t>
      </w:r>
      <w:r w:rsidR="00427F2C" w:rsidRPr="00C76A0E">
        <w:rPr>
          <w:rFonts w:cs="Calibri"/>
          <w:bCs/>
          <w:sz w:val="24"/>
          <w:szCs w:val="24"/>
        </w:rPr>
        <w:t xml:space="preserve"> MFG @</w:t>
      </w:r>
      <w:r w:rsidR="009E1EF6">
        <w:rPr>
          <w:rFonts w:cs="Calibri"/>
          <w:bCs/>
          <w:sz w:val="24"/>
          <w:szCs w:val="24"/>
        </w:rPr>
        <w:t>1.91</w:t>
      </w:r>
      <w:r w:rsidR="00427F2C" w:rsidRPr="00C76A0E">
        <w:rPr>
          <w:rFonts w:cs="Calibri"/>
          <w:bCs/>
          <w:sz w:val="24"/>
          <w:szCs w:val="24"/>
        </w:rPr>
        <w:t xml:space="preserve">% with capping </w:t>
      </w:r>
      <w:r w:rsidR="009E1EF6">
        <w:rPr>
          <w:rFonts w:cs="Calibri"/>
          <w:bCs/>
          <w:sz w:val="24"/>
          <w:szCs w:val="24"/>
        </w:rPr>
        <w:t xml:space="preserve">at 1.91% and scaling at </w:t>
      </w:r>
      <w:r w:rsidR="004910B4">
        <w:rPr>
          <w:rFonts w:cs="Calibri"/>
          <w:bCs/>
          <w:sz w:val="24"/>
          <w:szCs w:val="24"/>
        </w:rPr>
        <w:t>24.0</w:t>
      </w:r>
      <w:r w:rsidR="001F1F7F">
        <w:rPr>
          <w:rFonts w:cs="Calibri"/>
          <w:bCs/>
          <w:sz w:val="24"/>
          <w:szCs w:val="24"/>
        </w:rPr>
        <w:t>6</w:t>
      </w:r>
      <w:r w:rsidR="009E1EF6">
        <w:rPr>
          <w:rFonts w:cs="Calibri"/>
          <w:bCs/>
          <w:sz w:val="24"/>
          <w:szCs w:val="24"/>
        </w:rPr>
        <w:t>%</w:t>
      </w:r>
      <w:r w:rsidR="00B21AF6">
        <w:rPr>
          <w:rFonts w:cs="Calibri"/>
          <w:bCs/>
          <w:sz w:val="24"/>
          <w:szCs w:val="24"/>
        </w:rPr>
        <w:t>.</w:t>
      </w:r>
      <w:r w:rsidR="009E1EF6">
        <w:rPr>
          <w:rFonts w:cs="Calibri"/>
          <w:bCs/>
          <w:sz w:val="24"/>
          <w:szCs w:val="24"/>
        </w:rPr>
        <w:t xml:space="preserve"> </w:t>
      </w:r>
    </w:p>
    <w:p w14:paraId="121FDD5C" w14:textId="77777777" w:rsidR="00C76A0E" w:rsidRPr="00C76A0E" w:rsidRDefault="00C76A0E" w:rsidP="0090396E">
      <w:pPr>
        <w:pStyle w:val="NoSpacing"/>
        <w:rPr>
          <w:rFonts w:cs="Calibri"/>
          <w:bCs/>
          <w:sz w:val="24"/>
          <w:szCs w:val="24"/>
        </w:rPr>
      </w:pPr>
    </w:p>
    <w:p w14:paraId="6B7BC2D3" w14:textId="4A177AD2" w:rsidR="00C76A0E" w:rsidRDefault="00CE0BF8" w:rsidP="0090396E">
      <w:pPr>
        <w:pStyle w:val="NoSpacing"/>
        <w:rPr>
          <w:rFonts w:cs="Calibri"/>
          <w:bCs/>
          <w:sz w:val="24"/>
          <w:szCs w:val="24"/>
        </w:rPr>
      </w:pPr>
      <w:r>
        <w:rPr>
          <w:rFonts w:cs="Calibri"/>
          <w:b/>
          <w:sz w:val="24"/>
          <w:szCs w:val="24"/>
        </w:rPr>
        <w:t xml:space="preserve">Option </w:t>
      </w:r>
      <w:r w:rsidR="00B01023">
        <w:rPr>
          <w:rFonts w:cs="Calibri"/>
          <w:b/>
          <w:sz w:val="24"/>
          <w:szCs w:val="24"/>
        </w:rPr>
        <w:t>3</w:t>
      </w:r>
      <w:r>
        <w:rPr>
          <w:rFonts w:cs="Calibri"/>
          <w:b/>
          <w:sz w:val="24"/>
          <w:szCs w:val="24"/>
        </w:rPr>
        <w:t>:</w:t>
      </w:r>
      <w:r w:rsidR="009E1EF6">
        <w:rPr>
          <w:rFonts w:cs="Calibri"/>
          <w:b/>
          <w:sz w:val="24"/>
          <w:szCs w:val="24"/>
        </w:rPr>
        <w:t xml:space="preserve"> </w:t>
      </w:r>
      <w:r w:rsidR="00B01023">
        <w:rPr>
          <w:rFonts w:cs="Calibri"/>
          <w:bCs/>
          <w:sz w:val="24"/>
          <w:szCs w:val="24"/>
        </w:rPr>
        <w:t>An additional £45 per primary AWPU as a mid-point between the NFF and last year’s primary AWPU.</w:t>
      </w:r>
      <w:r w:rsidR="001071D0">
        <w:rPr>
          <w:rFonts w:cs="Calibri"/>
          <w:bCs/>
          <w:sz w:val="24"/>
          <w:szCs w:val="24"/>
        </w:rPr>
        <w:t xml:space="preserve"> </w:t>
      </w:r>
      <w:r w:rsidR="00B01023">
        <w:rPr>
          <w:rFonts w:cs="Calibri"/>
          <w:bCs/>
          <w:sz w:val="24"/>
          <w:szCs w:val="24"/>
        </w:rPr>
        <w:t xml:space="preserve">This </w:t>
      </w:r>
      <w:r w:rsidR="001071D0">
        <w:rPr>
          <w:rFonts w:cs="Calibri"/>
          <w:bCs/>
          <w:sz w:val="24"/>
          <w:szCs w:val="24"/>
        </w:rPr>
        <w:t xml:space="preserve">is </w:t>
      </w:r>
      <w:r w:rsidR="00B01023">
        <w:rPr>
          <w:rFonts w:cs="Calibri"/>
          <w:bCs/>
          <w:sz w:val="24"/>
          <w:szCs w:val="24"/>
        </w:rPr>
        <w:t>only affordable with</w:t>
      </w:r>
      <w:r w:rsidR="00B01023" w:rsidRPr="00C76A0E">
        <w:rPr>
          <w:rFonts w:cs="Calibri"/>
          <w:bCs/>
          <w:sz w:val="24"/>
          <w:szCs w:val="24"/>
        </w:rPr>
        <w:t xml:space="preserve"> </w:t>
      </w:r>
      <w:r w:rsidR="009E1EF6" w:rsidRPr="00C76A0E">
        <w:rPr>
          <w:rFonts w:cs="Calibri"/>
          <w:bCs/>
          <w:sz w:val="24"/>
          <w:szCs w:val="24"/>
        </w:rPr>
        <w:t>MFG @</w:t>
      </w:r>
      <w:r w:rsidR="009E1EF6">
        <w:rPr>
          <w:rFonts w:cs="Calibri"/>
          <w:bCs/>
          <w:sz w:val="24"/>
          <w:szCs w:val="24"/>
        </w:rPr>
        <w:t>1.91</w:t>
      </w:r>
      <w:r w:rsidR="009E1EF6" w:rsidRPr="00C76A0E">
        <w:rPr>
          <w:rFonts w:cs="Calibri"/>
          <w:bCs/>
          <w:sz w:val="24"/>
          <w:szCs w:val="24"/>
        </w:rPr>
        <w:t xml:space="preserve">% with capping </w:t>
      </w:r>
      <w:r w:rsidR="009E1EF6">
        <w:rPr>
          <w:rFonts w:cs="Calibri"/>
          <w:bCs/>
          <w:sz w:val="24"/>
          <w:szCs w:val="24"/>
        </w:rPr>
        <w:t xml:space="preserve">at 1.91% and scaling at </w:t>
      </w:r>
      <w:r w:rsidR="00A90898">
        <w:rPr>
          <w:rFonts w:cs="Calibri"/>
          <w:bCs/>
          <w:sz w:val="24"/>
          <w:szCs w:val="24"/>
        </w:rPr>
        <w:t>11.4</w:t>
      </w:r>
      <w:r w:rsidR="001F1F7F">
        <w:rPr>
          <w:rFonts w:cs="Calibri"/>
          <w:bCs/>
          <w:sz w:val="24"/>
          <w:szCs w:val="24"/>
        </w:rPr>
        <w:t>1</w:t>
      </w:r>
      <w:r w:rsidR="009E1EF6">
        <w:rPr>
          <w:rFonts w:cs="Calibri"/>
          <w:bCs/>
          <w:sz w:val="24"/>
          <w:szCs w:val="24"/>
        </w:rPr>
        <w:t>%</w:t>
      </w:r>
      <w:r w:rsidR="00B21AF6">
        <w:rPr>
          <w:rFonts w:cs="Calibri"/>
          <w:bCs/>
          <w:sz w:val="24"/>
          <w:szCs w:val="24"/>
        </w:rPr>
        <w:t>.</w:t>
      </w:r>
    </w:p>
    <w:p w14:paraId="1670C705" w14:textId="77777777" w:rsidR="009E1EF6" w:rsidRDefault="009E1EF6" w:rsidP="0090396E">
      <w:pPr>
        <w:pStyle w:val="NoSpacing"/>
        <w:rPr>
          <w:rFonts w:cs="Calibri"/>
          <w:b/>
          <w:sz w:val="24"/>
          <w:szCs w:val="24"/>
        </w:rPr>
      </w:pPr>
    </w:p>
    <w:p w14:paraId="7F8FD0A5" w14:textId="4DC93AD5" w:rsidR="00903BC6" w:rsidRDefault="00CE0BF8" w:rsidP="00903BC6">
      <w:pPr>
        <w:pStyle w:val="NoSpacing"/>
        <w:rPr>
          <w:rFonts w:cs="Calibri"/>
          <w:bCs/>
          <w:sz w:val="24"/>
          <w:szCs w:val="24"/>
        </w:rPr>
      </w:pPr>
      <w:r>
        <w:rPr>
          <w:rFonts w:cs="Calibri"/>
          <w:b/>
          <w:sz w:val="24"/>
          <w:szCs w:val="24"/>
        </w:rPr>
        <w:t xml:space="preserve">Option </w:t>
      </w:r>
      <w:r w:rsidR="00B01023">
        <w:rPr>
          <w:rFonts w:cs="Calibri"/>
          <w:b/>
          <w:sz w:val="24"/>
          <w:szCs w:val="24"/>
        </w:rPr>
        <w:t>4</w:t>
      </w:r>
      <w:r>
        <w:rPr>
          <w:rFonts w:cs="Calibri"/>
          <w:b/>
          <w:sz w:val="24"/>
          <w:szCs w:val="24"/>
        </w:rPr>
        <w:t>:</w:t>
      </w:r>
      <w:r w:rsidR="00903BC6">
        <w:rPr>
          <w:rFonts w:cs="Calibri"/>
          <w:b/>
          <w:sz w:val="24"/>
          <w:szCs w:val="24"/>
        </w:rPr>
        <w:t xml:space="preserve"> </w:t>
      </w:r>
      <w:r w:rsidR="00B01023">
        <w:rPr>
          <w:rFonts w:cs="Calibri"/>
          <w:b/>
          <w:sz w:val="24"/>
          <w:szCs w:val="24"/>
        </w:rPr>
        <w:t xml:space="preserve"> Share the £</w:t>
      </w:r>
      <w:r w:rsidR="009D178F">
        <w:rPr>
          <w:rFonts w:cs="Calibri"/>
          <w:b/>
          <w:sz w:val="24"/>
          <w:szCs w:val="24"/>
        </w:rPr>
        <w:t>31</w:t>
      </w:r>
      <w:r w:rsidR="00D73AEA">
        <w:rPr>
          <w:rFonts w:cs="Calibri"/>
          <w:b/>
          <w:sz w:val="24"/>
          <w:szCs w:val="24"/>
        </w:rPr>
        <w:t>1</w:t>
      </w:r>
      <w:r w:rsidR="009D178F">
        <w:rPr>
          <w:rFonts w:cs="Calibri"/>
          <w:b/>
          <w:sz w:val="24"/>
          <w:szCs w:val="24"/>
        </w:rPr>
        <w:t xml:space="preserve">k </w:t>
      </w:r>
      <w:r w:rsidR="00B01023">
        <w:rPr>
          <w:rFonts w:cs="Calibri"/>
          <w:b/>
          <w:sz w:val="24"/>
          <w:szCs w:val="24"/>
        </w:rPr>
        <w:t>surplus equally between primary and secondary</w:t>
      </w:r>
      <w:r w:rsidR="004477CD">
        <w:rPr>
          <w:rFonts w:cs="Calibri"/>
          <w:bCs/>
          <w:sz w:val="24"/>
          <w:szCs w:val="24"/>
        </w:rPr>
        <w:t xml:space="preserve"> </w:t>
      </w:r>
      <w:r w:rsidR="00582756">
        <w:rPr>
          <w:rFonts w:cs="Calibri"/>
          <w:bCs/>
          <w:sz w:val="24"/>
          <w:szCs w:val="24"/>
        </w:rPr>
        <w:t xml:space="preserve">phase </w:t>
      </w:r>
      <w:r w:rsidR="00A64C31">
        <w:rPr>
          <w:rFonts w:cs="Calibri"/>
          <w:bCs/>
          <w:sz w:val="24"/>
          <w:szCs w:val="24"/>
        </w:rPr>
        <w:t>with an additional £</w:t>
      </w:r>
      <w:r w:rsidR="00192FB5">
        <w:rPr>
          <w:rFonts w:cs="Calibri"/>
          <w:bCs/>
          <w:sz w:val="24"/>
          <w:szCs w:val="24"/>
        </w:rPr>
        <w:t>4.69</w:t>
      </w:r>
      <w:r w:rsidR="00A64C31">
        <w:rPr>
          <w:rFonts w:cs="Calibri"/>
          <w:bCs/>
          <w:sz w:val="24"/>
          <w:szCs w:val="24"/>
        </w:rPr>
        <w:t xml:space="preserve"> per pupil</w:t>
      </w:r>
      <w:r w:rsidR="00C72668">
        <w:rPr>
          <w:rFonts w:cs="Calibri"/>
          <w:bCs/>
          <w:sz w:val="24"/>
          <w:szCs w:val="24"/>
        </w:rPr>
        <w:t xml:space="preserve"> for primary schools, and £3.53 per pupil for secondary schools</w:t>
      </w:r>
      <w:r w:rsidR="004477CD">
        <w:rPr>
          <w:rFonts w:cs="Calibri"/>
          <w:bCs/>
          <w:sz w:val="24"/>
          <w:szCs w:val="24"/>
        </w:rPr>
        <w:t xml:space="preserve">, </w:t>
      </w:r>
      <w:r w:rsidR="00903BC6" w:rsidRPr="00C76A0E">
        <w:rPr>
          <w:rFonts w:cs="Calibri"/>
          <w:bCs/>
          <w:sz w:val="24"/>
          <w:szCs w:val="24"/>
        </w:rPr>
        <w:t>MFG @2% with no capping or scaling</w:t>
      </w:r>
      <w:r w:rsidR="00C90964">
        <w:rPr>
          <w:rFonts w:cs="Calibri"/>
          <w:bCs/>
          <w:sz w:val="24"/>
          <w:szCs w:val="24"/>
        </w:rPr>
        <w:t xml:space="preserve">. </w:t>
      </w:r>
    </w:p>
    <w:p w14:paraId="4B44553C" w14:textId="31A7BCE7" w:rsidR="00017E1F" w:rsidRPr="00C76A0E" w:rsidRDefault="00017E1F" w:rsidP="00903BC6">
      <w:pPr>
        <w:pStyle w:val="NoSpacing"/>
        <w:rPr>
          <w:rFonts w:cs="Calibri"/>
          <w:bCs/>
          <w:sz w:val="24"/>
          <w:szCs w:val="24"/>
        </w:rPr>
      </w:pPr>
      <w:r>
        <w:rPr>
          <w:rFonts w:cs="Calibri"/>
          <w:bCs/>
          <w:sz w:val="24"/>
          <w:szCs w:val="24"/>
        </w:rPr>
        <w:t>This option results in total cost of £1,031,442,</w:t>
      </w:r>
      <w:r w:rsidR="00540C5F">
        <w:rPr>
          <w:rFonts w:cs="Calibri"/>
          <w:bCs/>
          <w:sz w:val="24"/>
          <w:szCs w:val="24"/>
        </w:rPr>
        <w:t>141</w:t>
      </w:r>
      <w:r w:rsidR="00FE2813">
        <w:rPr>
          <w:rFonts w:cs="Calibri"/>
          <w:bCs/>
          <w:sz w:val="24"/>
          <w:szCs w:val="24"/>
        </w:rPr>
        <w:t xml:space="preserve">, with </w:t>
      </w:r>
      <w:r w:rsidR="00745293">
        <w:rPr>
          <w:rFonts w:cs="Calibri"/>
          <w:bCs/>
          <w:sz w:val="24"/>
          <w:szCs w:val="24"/>
        </w:rPr>
        <w:t>£254 as a balancing figure</w:t>
      </w:r>
      <w:r w:rsidR="0092130E">
        <w:rPr>
          <w:rFonts w:cs="Calibri"/>
          <w:bCs/>
          <w:sz w:val="24"/>
          <w:szCs w:val="24"/>
        </w:rPr>
        <w:t>.</w:t>
      </w:r>
      <w:r>
        <w:rPr>
          <w:rFonts w:cs="Calibri"/>
          <w:bCs/>
          <w:sz w:val="24"/>
          <w:szCs w:val="24"/>
        </w:rPr>
        <w:t xml:space="preserve"> </w:t>
      </w:r>
    </w:p>
    <w:p w14:paraId="1786AC0D" w14:textId="27FA7788" w:rsidR="00695FBA" w:rsidRDefault="00695FBA" w:rsidP="0090396E">
      <w:pPr>
        <w:pStyle w:val="NoSpacing"/>
        <w:rPr>
          <w:rFonts w:cs="Calibri"/>
          <w:sz w:val="24"/>
          <w:szCs w:val="24"/>
        </w:rPr>
      </w:pPr>
    </w:p>
    <w:p w14:paraId="42D35E28" w14:textId="77777777" w:rsidR="0027388F" w:rsidRPr="00EC0E9C" w:rsidRDefault="0027388F" w:rsidP="0027388F">
      <w:pPr>
        <w:rPr>
          <w:b/>
          <w:sz w:val="24"/>
          <w:szCs w:val="24"/>
        </w:rPr>
      </w:pPr>
      <w:r w:rsidRPr="00EC0E9C">
        <w:rPr>
          <w:b/>
          <w:sz w:val="24"/>
          <w:szCs w:val="24"/>
        </w:rPr>
        <w:t>For Decision</w:t>
      </w:r>
    </w:p>
    <w:p w14:paraId="41D00FC1" w14:textId="481919E1" w:rsidR="00CA3269" w:rsidRDefault="00D30894" w:rsidP="007614A4">
      <w:pPr>
        <w:rPr>
          <w:rFonts w:cs="Calibri"/>
          <w:bCs/>
          <w:sz w:val="24"/>
          <w:szCs w:val="24"/>
        </w:rPr>
      </w:pPr>
      <w:r>
        <w:rPr>
          <w:rFonts w:cs="Calibri"/>
          <w:bCs/>
          <w:sz w:val="24"/>
          <w:szCs w:val="24"/>
        </w:rPr>
        <w:t xml:space="preserve">In comparison, </w:t>
      </w:r>
      <w:r w:rsidR="00B031F3">
        <w:rPr>
          <w:rFonts w:cs="Calibri"/>
          <w:bCs/>
          <w:sz w:val="24"/>
          <w:szCs w:val="24"/>
        </w:rPr>
        <w:t xml:space="preserve">Option 1 </w:t>
      </w:r>
      <w:r w:rsidR="00B6058F">
        <w:rPr>
          <w:rFonts w:cs="Calibri"/>
          <w:bCs/>
          <w:sz w:val="24"/>
          <w:szCs w:val="24"/>
        </w:rPr>
        <w:t>still gives higher value to primary schools</w:t>
      </w:r>
      <w:r w:rsidR="00F55837">
        <w:rPr>
          <w:rFonts w:cs="Calibri"/>
          <w:bCs/>
          <w:sz w:val="24"/>
          <w:szCs w:val="24"/>
        </w:rPr>
        <w:t>, whilst Option 2 and Option 3 requires capping and scaling to be affordable</w:t>
      </w:r>
      <w:r w:rsidR="00915A7A">
        <w:rPr>
          <w:rFonts w:cs="Calibri"/>
          <w:bCs/>
          <w:sz w:val="24"/>
          <w:szCs w:val="24"/>
        </w:rPr>
        <w:t>.</w:t>
      </w:r>
      <w:r w:rsidR="003F1C64">
        <w:rPr>
          <w:rFonts w:cs="Calibri"/>
          <w:bCs/>
          <w:sz w:val="24"/>
          <w:szCs w:val="24"/>
        </w:rPr>
        <w:t xml:space="preserve"> </w:t>
      </w:r>
      <w:r w:rsidR="00915A7A">
        <w:rPr>
          <w:rFonts w:cs="Calibri"/>
          <w:bCs/>
          <w:sz w:val="24"/>
          <w:szCs w:val="24"/>
        </w:rPr>
        <w:t>T</w:t>
      </w:r>
      <w:r w:rsidR="003F1C64">
        <w:rPr>
          <w:rFonts w:cs="Calibri"/>
          <w:bCs/>
          <w:sz w:val="24"/>
          <w:szCs w:val="24"/>
        </w:rPr>
        <w:t>herefore Option 4 is o</w:t>
      </w:r>
      <w:r w:rsidR="00C977D3" w:rsidRPr="00A654EC">
        <w:rPr>
          <w:rFonts w:cs="Calibri"/>
          <w:bCs/>
          <w:sz w:val="24"/>
          <w:szCs w:val="24"/>
        </w:rPr>
        <w:t>ur preference</w:t>
      </w:r>
      <w:r w:rsidR="00915A7A">
        <w:rPr>
          <w:rFonts w:cs="Calibri"/>
          <w:bCs/>
          <w:sz w:val="24"/>
          <w:szCs w:val="24"/>
        </w:rPr>
        <w:t xml:space="preserve">. It </w:t>
      </w:r>
      <w:r w:rsidR="00433316" w:rsidRPr="00A654EC">
        <w:rPr>
          <w:rFonts w:cs="Calibri"/>
          <w:bCs/>
          <w:sz w:val="24"/>
          <w:szCs w:val="24"/>
        </w:rPr>
        <w:t xml:space="preserve">maintains the MFG </w:t>
      </w:r>
      <w:r w:rsidR="00915A7A">
        <w:rPr>
          <w:rFonts w:cs="Calibri"/>
          <w:bCs/>
          <w:sz w:val="24"/>
          <w:szCs w:val="24"/>
        </w:rPr>
        <w:t xml:space="preserve">at </w:t>
      </w:r>
      <w:r w:rsidR="00433316" w:rsidRPr="00A654EC">
        <w:rPr>
          <w:rFonts w:cs="Calibri"/>
          <w:bCs/>
          <w:sz w:val="24"/>
          <w:szCs w:val="24"/>
        </w:rPr>
        <w:t>2%, does</w:t>
      </w:r>
      <w:r w:rsidR="003F1C64">
        <w:rPr>
          <w:rFonts w:cs="Calibri"/>
          <w:bCs/>
          <w:sz w:val="24"/>
          <w:szCs w:val="24"/>
        </w:rPr>
        <w:t xml:space="preserve"> not</w:t>
      </w:r>
      <w:r w:rsidR="00433316" w:rsidRPr="00A654EC">
        <w:rPr>
          <w:rFonts w:cs="Calibri"/>
          <w:bCs/>
          <w:sz w:val="24"/>
          <w:szCs w:val="24"/>
        </w:rPr>
        <w:t xml:space="preserve"> apply capping </w:t>
      </w:r>
      <w:r w:rsidR="003F1C64">
        <w:rPr>
          <w:rFonts w:cs="Calibri"/>
          <w:bCs/>
          <w:sz w:val="24"/>
          <w:szCs w:val="24"/>
        </w:rPr>
        <w:t xml:space="preserve">or </w:t>
      </w:r>
      <w:r w:rsidR="00433316" w:rsidRPr="00A654EC">
        <w:rPr>
          <w:rFonts w:cs="Calibri"/>
          <w:bCs/>
          <w:sz w:val="24"/>
          <w:szCs w:val="24"/>
        </w:rPr>
        <w:t xml:space="preserve">scaling to schools, so </w:t>
      </w:r>
      <w:r w:rsidR="00F5672D">
        <w:rPr>
          <w:rFonts w:cs="Calibri"/>
          <w:bCs/>
          <w:sz w:val="24"/>
          <w:szCs w:val="24"/>
        </w:rPr>
        <w:t xml:space="preserve">no </w:t>
      </w:r>
      <w:r w:rsidR="003F1C64">
        <w:rPr>
          <w:rFonts w:cs="Calibri"/>
          <w:bCs/>
          <w:sz w:val="24"/>
          <w:szCs w:val="24"/>
        </w:rPr>
        <w:t>school</w:t>
      </w:r>
      <w:r w:rsidR="00433316" w:rsidRPr="00A654EC">
        <w:rPr>
          <w:rFonts w:cs="Calibri"/>
          <w:bCs/>
          <w:sz w:val="24"/>
          <w:szCs w:val="24"/>
        </w:rPr>
        <w:t xml:space="preserve"> loses out</w:t>
      </w:r>
      <w:r w:rsidR="00915A7A">
        <w:rPr>
          <w:rFonts w:cs="Calibri"/>
          <w:bCs/>
          <w:sz w:val="24"/>
          <w:szCs w:val="24"/>
        </w:rPr>
        <w:t>.</w:t>
      </w:r>
    </w:p>
    <w:p w14:paraId="063C90D9" w14:textId="4C02752A" w:rsidR="00873F36" w:rsidRPr="00A654EC" w:rsidRDefault="00873F36" w:rsidP="007614A4">
      <w:pPr>
        <w:rPr>
          <w:rFonts w:cs="Calibri"/>
          <w:bCs/>
          <w:sz w:val="24"/>
          <w:szCs w:val="24"/>
        </w:rPr>
      </w:pPr>
      <w:r>
        <w:rPr>
          <w:rFonts w:cs="Calibri"/>
          <w:bCs/>
          <w:sz w:val="24"/>
          <w:szCs w:val="24"/>
        </w:rPr>
        <w:t xml:space="preserve">We </w:t>
      </w:r>
      <w:r w:rsidR="006356E5">
        <w:rPr>
          <w:rFonts w:cs="Calibri"/>
          <w:bCs/>
          <w:sz w:val="24"/>
          <w:szCs w:val="24"/>
        </w:rPr>
        <w:t xml:space="preserve">recommend </w:t>
      </w:r>
      <w:r w:rsidR="00915A7A">
        <w:rPr>
          <w:rFonts w:cs="Calibri"/>
          <w:bCs/>
          <w:sz w:val="24"/>
          <w:szCs w:val="24"/>
        </w:rPr>
        <w:t>S</w:t>
      </w:r>
      <w:r w:rsidR="006356E5">
        <w:rPr>
          <w:rFonts w:cs="Calibri"/>
          <w:bCs/>
          <w:sz w:val="24"/>
          <w:szCs w:val="24"/>
        </w:rPr>
        <w:t xml:space="preserve">chool </w:t>
      </w:r>
      <w:r w:rsidR="00915A7A">
        <w:rPr>
          <w:rFonts w:cs="Calibri"/>
          <w:bCs/>
          <w:sz w:val="24"/>
          <w:szCs w:val="24"/>
        </w:rPr>
        <w:t>F</w:t>
      </w:r>
      <w:r w:rsidR="006356E5">
        <w:rPr>
          <w:rFonts w:cs="Calibri"/>
          <w:bCs/>
          <w:sz w:val="24"/>
          <w:szCs w:val="24"/>
        </w:rPr>
        <w:t xml:space="preserve">orum choose Option 4. </w:t>
      </w:r>
    </w:p>
    <w:p w14:paraId="65F9362E" w14:textId="77777777" w:rsidR="00A30180" w:rsidRDefault="00A30180" w:rsidP="007614A4">
      <w:pPr>
        <w:rPr>
          <w:sz w:val="24"/>
          <w:szCs w:val="24"/>
        </w:rPr>
      </w:pPr>
    </w:p>
    <w:p w14:paraId="24A05F19" w14:textId="500B3FD2" w:rsidR="00CA391F" w:rsidRPr="002F25F3" w:rsidRDefault="00FE317B" w:rsidP="007614A4">
      <w:pPr>
        <w:rPr>
          <w:b/>
          <w:bCs/>
          <w:sz w:val="24"/>
          <w:szCs w:val="24"/>
        </w:rPr>
      </w:pPr>
      <w:r>
        <w:rPr>
          <w:sz w:val="24"/>
          <w:szCs w:val="24"/>
        </w:rPr>
        <w:br w:type="page"/>
      </w:r>
      <w:r w:rsidR="00C42C28" w:rsidRPr="002F25F3">
        <w:rPr>
          <w:b/>
          <w:bCs/>
          <w:sz w:val="24"/>
          <w:szCs w:val="24"/>
        </w:rPr>
        <w:lastRenderedPageBreak/>
        <w:t xml:space="preserve">Appendix: </w:t>
      </w:r>
      <w:r w:rsidR="00D86ACC" w:rsidRPr="002F25F3">
        <w:rPr>
          <w:b/>
          <w:bCs/>
          <w:sz w:val="24"/>
          <w:szCs w:val="24"/>
        </w:rPr>
        <w:t xml:space="preserve">Modelling </w:t>
      </w:r>
      <w:r w:rsidR="00640471">
        <w:rPr>
          <w:b/>
          <w:bCs/>
          <w:sz w:val="24"/>
          <w:szCs w:val="24"/>
        </w:rPr>
        <w:t xml:space="preserve">four </w:t>
      </w:r>
      <w:r w:rsidR="006656CF" w:rsidRPr="002F25F3">
        <w:rPr>
          <w:b/>
          <w:bCs/>
          <w:sz w:val="24"/>
          <w:szCs w:val="24"/>
        </w:rPr>
        <w:t xml:space="preserve">options </w:t>
      </w:r>
      <w:r w:rsidR="006F4831" w:rsidRPr="002F25F3">
        <w:rPr>
          <w:b/>
          <w:bCs/>
          <w:sz w:val="24"/>
          <w:szCs w:val="24"/>
        </w:rPr>
        <w:t xml:space="preserve">by </w:t>
      </w:r>
      <w:r w:rsidR="00D86ACC" w:rsidRPr="002F25F3">
        <w:rPr>
          <w:b/>
          <w:bCs/>
          <w:sz w:val="24"/>
          <w:szCs w:val="24"/>
        </w:rPr>
        <w:t xml:space="preserve">different </w:t>
      </w:r>
      <w:r w:rsidR="00914425" w:rsidRPr="002F25F3">
        <w:rPr>
          <w:b/>
          <w:bCs/>
          <w:sz w:val="24"/>
          <w:szCs w:val="24"/>
        </w:rPr>
        <w:t>MFG rate and AWPU rate:</w:t>
      </w:r>
    </w:p>
    <w:p w14:paraId="376D1A80" w14:textId="77F91375" w:rsidR="00764E8B" w:rsidRDefault="008F70A6" w:rsidP="007614A4">
      <w:pPr>
        <w:rPr>
          <w:noProof/>
          <w:sz w:val="24"/>
          <w:szCs w:val="24"/>
        </w:rPr>
      </w:pPr>
      <w:r w:rsidRPr="008F70A6">
        <w:rPr>
          <w:noProof/>
          <w:sz w:val="24"/>
          <w:szCs w:val="24"/>
        </w:rPr>
        <w:drawing>
          <wp:inline distT="0" distB="0" distL="0" distR="0" wp14:anchorId="149654DB" wp14:editId="1F8D150E">
            <wp:extent cx="5907819" cy="3116671"/>
            <wp:effectExtent l="0" t="0" r="0" b="7620"/>
            <wp:docPr id="3" name="Picture 3" descr="Modelling four options by different MFG rate and AWPU ra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delling four options by different MFG rate and AWPU rate">
                      <a:extLst>
                        <a:ext uri="{C183D7F6-B498-43B3-948B-1728B52AA6E4}">
                          <adec:decorative xmlns:adec="http://schemas.microsoft.com/office/drawing/2017/decorative" val="0"/>
                        </a:ext>
                      </a:extLst>
                    </pic:cNvPr>
                    <pic:cNvPicPr/>
                  </pic:nvPicPr>
                  <pic:blipFill>
                    <a:blip r:embed="rId14"/>
                    <a:stretch>
                      <a:fillRect/>
                    </a:stretch>
                  </pic:blipFill>
                  <pic:spPr>
                    <a:xfrm>
                      <a:off x="0" y="0"/>
                      <a:ext cx="5930432" cy="3128600"/>
                    </a:xfrm>
                    <a:prstGeom prst="rect">
                      <a:avLst/>
                    </a:prstGeom>
                  </pic:spPr>
                </pic:pic>
              </a:graphicData>
            </a:graphic>
          </wp:inline>
        </w:drawing>
      </w:r>
    </w:p>
    <w:p w14:paraId="296C5722" w14:textId="6C0DD143" w:rsidR="004B78AE" w:rsidRDefault="004B78AE" w:rsidP="007614A4">
      <w:pPr>
        <w:rPr>
          <w:noProof/>
          <w:sz w:val="24"/>
          <w:szCs w:val="24"/>
        </w:rPr>
      </w:pPr>
      <w:r w:rsidRPr="004B78AE">
        <w:rPr>
          <w:noProof/>
          <w:sz w:val="24"/>
          <w:szCs w:val="24"/>
        </w:rPr>
        <w:drawing>
          <wp:inline distT="0" distB="0" distL="0" distR="0" wp14:anchorId="11941C23" wp14:editId="7ACA95D6">
            <wp:extent cx="5883965" cy="2878296"/>
            <wp:effectExtent l="0" t="0" r="2540" b="0"/>
            <wp:docPr id="6" name="Picture 6" descr="Modelling four options by different MFG rate and AWPU rate - continu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delling four options by different MFG rate and AWPU rate - continued">
                      <a:extLst>
                        <a:ext uri="{C183D7F6-B498-43B3-948B-1728B52AA6E4}">
                          <adec:decorative xmlns:adec="http://schemas.microsoft.com/office/drawing/2017/decorative" val="0"/>
                        </a:ext>
                      </a:extLst>
                    </pic:cNvPr>
                    <pic:cNvPicPr/>
                  </pic:nvPicPr>
                  <pic:blipFill>
                    <a:blip r:embed="rId15"/>
                    <a:stretch>
                      <a:fillRect/>
                    </a:stretch>
                  </pic:blipFill>
                  <pic:spPr>
                    <a:xfrm>
                      <a:off x="0" y="0"/>
                      <a:ext cx="5906361" cy="2889252"/>
                    </a:xfrm>
                    <a:prstGeom prst="rect">
                      <a:avLst/>
                    </a:prstGeom>
                  </pic:spPr>
                </pic:pic>
              </a:graphicData>
            </a:graphic>
          </wp:inline>
        </w:drawing>
      </w:r>
    </w:p>
    <w:p w14:paraId="6921EC13" w14:textId="65F0FF33" w:rsidR="000C1E1D" w:rsidRDefault="000C1E1D" w:rsidP="007614A4">
      <w:pPr>
        <w:rPr>
          <w:noProof/>
          <w:sz w:val="24"/>
          <w:szCs w:val="24"/>
        </w:rPr>
      </w:pPr>
      <w:r w:rsidRPr="000C1E1D">
        <w:rPr>
          <w:noProof/>
          <w:sz w:val="24"/>
          <w:szCs w:val="24"/>
        </w:rPr>
        <w:drawing>
          <wp:inline distT="0" distB="0" distL="0" distR="0" wp14:anchorId="697B3B37" wp14:editId="3620D2DE">
            <wp:extent cx="5891917" cy="1256030"/>
            <wp:effectExtent l="0" t="0" r="0" b="1270"/>
            <wp:docPr id="10" name="Picture 10" descr="Modelling four options by different MFG rate and AWPU rate - continu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odelling four options by different MFG rate and AWPU rate - continued">
                      <a:extLst>
                        <a:ext uri="{C183D7F6-B498-43B3-948B-1728B52AA6E4}">
                          <adec:decorative xmlns:adec="http://schemas.microsoft.com/office/drawing/2017/decorative" val="0"/>
                        </a:ext>
                      </a:extLst>
                    </pic:cNvPr>
                    <pic:cNvPicPr/>
                  </pic:nvPicPr>
                  <pic:blipFill>
                    <a:blip r:embed="rId16"/>
                    <a:stretch>
                      <a:fillRect/>
                    </a:stretch>
                  </pic:blipFill>
                  <pic:spPr>
                    <a:xfrm>
                      <a:off x="0" y="0"/>
                      <a:ext cx="6035578" cy="1286656"/>
                    </a:xfrm>
                    <a:prstGeom prst="rect">
                      <a:avLst/>
                    </a:prstGeom>
                  </pic:spPr>
                </pic:pic>
              </a:graphicData>
            </a:graphic>
          </wp:inline>
        </w:drawing>
      </w:r>
    </w:p>
    <w:p w14:paraId="5C39D219" w14:textId="403F5B7D" w:rsidR="005B6342" w:rsidRDefault="005B6342" w:rsidP="007614A4">
      <w:pPr>
        <w:rPr>
          <w:noProof/>
          <w:sz w:val="24"/>
          <w:szCs w:val="24"/>
        </w:rPr>
      </w:pPr>
    </w:p>
    <w:p w14:paraId="4B8AC97A" w14:textId="59A59A82" w:rsidR="00FA7E6B" w:rsidRDefault="00FA7E6B" w:rsidP="007614A4">
      <w:pPr>
        <w:rPr>
          <w:noProof/>
          <w:sz w:val="24"/>
          <w:szCs w:val="24"/>
        </w:rPr>
      </w:pPr>
    </w:p>
    <w:p w14:paraId="5BED93A5" w14:textId="41254DBC" w:rsidR="004B07F5" w:rsidRDefault="004B07F5" w:rsidP="007614A4">
      <w:pPr>
        <w:rPr>
          <w:noProof/>
          <w:sz w:val="24"/>
          <w:szCs w:val="24"/>
        </w:rPr>
      </w:pPr>
    </w:p>
    <w:p w14:paraId="0738B310" w14:textId="18007338" w:rsidR="00D1243F" w:rsidRDefault="002E6171" w:rsidP="007614A4">
      <w:pPr>
        <w:rPr>
          <w:noProof/>
          <w:sz w:val="24"/>
          <w:szCs w:val="24"/>
        </w:rPr>
      </w:pPr>
      <w:r w:rsidRPr="002E6171">
        <w:rPr>
          <w:noProof/>
          <w:sz w:val="24"/>
          <w:szCs w:val="24"/>
        </w:rPr>
        <w:lastRenderedPageBreak/>
        <w:drawing>
          <wp:inline distT="0" distB="0" distL="0" distR="0" wp14:anchorId="6450F838" wp14:editId="5CD60832">
            <wp:extent cx="5931673" cy="3524885"/>
            <wp:effectExtent l="0" t="0" r="0" b="0"/>
            <wp:docPr id="11" name="Picture 11" descr="Modelling four options by different MFG rate and AWPU rate - continu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delling four options by different MFG rate and AWPU rate - continued">
                      <a:extLst>
                        <a:ext uri="{C183D7F6-B498-43B3-948B-1728B52AA6E4}">
                          <adec:decorative xmlns:adec="http://schemas.microsoft.com/office/drawing/2017/decorative" val="0"/>
                        </a:ext>
                      </a:extLst>
                    </pic:cNvPr>
                    <pic:cNvPicPr/>
                  </pic:nvPicPr>
                  <pic:blipFill>
                    <a:blip r:embed="rId17"/>
                    <a:stretch>
                      <a:fillRect/>
                    </a:stretch>
                  </pic:blipFill>
                  <pic:spPr>
                    <a:xfrm>
                      <a:off x="0" y="0"/>
                      <a:ext cx="5958484" cy="3540817"/>
                    </a:xfrm>
                    <a:prstGeom prst="rect">
                      <a:avLst/>
                    </a:prstGeom>
                  </pic:spPr>
                </pic:pic>
              </a:graphicData>
            </a:graphic>
          </wp:inline>
        </w:drawing>
      </w:r>
    </w:p>
    <w:p w14:paraId="441D6FB9" w14:textId="4F23FD56" w:rsidR="00D1243F" w:rsidRDefault="00D1243F" w:rsidP="007614A4">
      <w:pPr>
        <w:rPr>
          <w:noProof/>
          <w:sz w:val="24"/>
          <w:szCs w:val="24"/>
        </w:rPr>
      </w:pPr>
    </w:p>
    <w:p w14:paraId="6AC48BE7" w14:textId="10A6914A" w:rsidR="00601295" w:rsidRDefault="00601295" w:rsidP="007614A4">
      <w:pPr>
        <w:rPr>
          <w:noProof/>
          <w:sz w:val="24"/>
          <w:szCs w:val="24"/>
        </w:rPr>
      </w:pPr>
    </w:p>
    <w:p w14:paraId="2D27E3BE" w14:textId="77777777" w:rsidR="00601295" w:rsidRDefault="00601295" w:rsidP="007614A4">
      <w:pPr>
        <w:rPr>
          <w:noProof/>
          <w:sz w:val="24"/>
          <w:szCs w:val="24"/>
        </w:rPr>
      </w:pPr>
    </w:p>
    <w:p w14:paraId="6E58C19E" w14:textId="5493D193" w:rsidR="001A131F" w:rsidRDefault="001A131F" w:rsidP="00EC0E9C"/>
    <w:sectPr w:rsidR="001A131F" w:rsidSect="00CA391F">
      <w:pgSz w:w="11906" w:h="16838"/>
      <w:pgMar w:top="1079" w:right="24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46CB" w14:textId="77777777" w:rsidR="00B318B3" w:rsidRDefault="00B318B3" w:rsidP="00714D13">
      <w:r>
        <w:separator/>
      </w:r>
    </w:p>
  </w:endnote>
  <w:endnote w:type="continuationSeparator" w:id="0">
    <w:p w14:paraId="036AED7E" w14:textId="77777777" w:rsidR="00B318B3" w:rsidRDefault="00B318B3"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5B69" w14:textId="77777777" w:rsidR="00B318B3" w:rsidRDefault="00B318B3" w:rsidP="00714D13">
      <w:r>
        <w:separator/>
      </w:r>
    </w:p>
  </w:footnote>
  <w:footnote w:type="continuationSeparator" w:id="0">
    <w:p w14:paraId="32BEF35D" w14:textId="77777777" w:rsidR="00B318B3" w:rsidRDefault="00B318B3"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E9"/>
    <w:multiLevelType w:val="hybridMultilevel"/>
    <w:tmpl w:val="EAFC6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6AA269E"/>
    <w:multiLevelType w:val="hybridMultilevel"/>
    <w:tmpl w:val="C6A65A5A"/>
    <w:lvl w:ilvl="0" w:tplc="0BB6C3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0127B"/>
    <w:multiLevelType w:val="hybridMultilevel"/>
    <w:tmpl w:val="3F783D36"/>
    <w:lvl w:ilvl="0" w:tplc="1268981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3F2F4A"/>
    <w:multiLevelType w:val="hybridMultilevel"/>
    <w:tmpl w:val="AF46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D56ACF"/>
    <w:multiLevelType w:val="hybridMultilevel"/>
    <w:tmpl w:val="C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F7934"/>
    <w:multiLevelType w:val="hybridMultilevel"/>
    <w:tmpl w:val="0D9207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07497"/>
    <w:multiLevelType w:val="hybridMultilevel"/>
    <w:tmpl w:val="094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67583B"/>
    <w:multiLevelType w:val="hybridMultilevel"/>
    <w:tmpl w:val="38EE724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6F1E"/>
    <w:multiLevelType w:val="hybridMultilevel"/>
    <w:tmpl w:val="62527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BB1C1C"/>
    <w:multiLevelType w:val="hybridMultilevel"/>
    <w:tmpl w:val="4BB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73009"/>
    <w:multiLevelType w:val="multilevel"/>
    <w:tmpl w:val="E676E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D34B65"/>
    <w:multiLevelType w:val="hybridMultilevel"/>
    <w:tmpl w:val="716CA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5015D"/>
    <w:multiLevelType w:val="hybridMultilevel"/>
    <w:tmpl w:val="2712491E"/>
    <w:lvl w:ilvl="0" w:tplc="08090001">
      <w:start w:val="1"/>
      <w:numFmt w:val="bullet"/>
      <w:lvlText w:val=""/>
      <w:lvlJc w:val="left"/>
      <w:pPr>
        <w:ind w:left="360" w:hanging="360"/>
      </w:pPr>
      <w:rPr>
        <w:rFonts w:ascii="Symbol" w:hAnsi="Symbol" w:hint="default"/>
      </w:rPr>
    </w:lvl>
    <w:lvl w:ilvl="1" w:tplc="8B22350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1E0516"/>
    <w:multiLevelType w:val="hybridMultilevel"/>
    <w:tmpl w:val="A30E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6F1608"/>
    <w:multiLevelType w:val="hybridMultilevel"/>
    <w:tmpl w:val="203E3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100485"/>
    <w:multiLevelType w:val="hybridMultilevel"/>
    <w:tmpl w:val="8A0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41FAD"/>
    <w:multiLevelType w:val="hybridMultilevel"/>
    <w:tmpl w:val="D0C828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ECD0A">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1"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37E12"/>
    <w:multiLevelType w:val="hybridMultilevel"/>
    <w:tmpl w:val="B69E3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1A08F8"/>
    <w:multiLevelType w:val="hybridMultilevel"/>
    <w:tmpl w:val="A55E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F40D5E"/>
    <w:multiLevelType w:val="hybridMultilevel"/>
    <w:tmpl w:val="258255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25D23"/>
    <w:multiLevelType w:val="hybridMultilevel"/>
    <w:tmpl w:val="BC92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23BD8"/>
    <w:multiLevelType w:val="hybridMultilevel"/>
    <w:tmpl w:val="647670B4"/>
    <w:lvl w:ilvl="0" w:tplc="4ACE22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E24DD"/>
    <w:multiLevelType w:val="hybridMultilevel"/>
    <w:tmpl w:val="CB0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29"/>
  </w:num>
  <w:num w:numId="4">
    <w:abstractNumId w:val="1"/>
  </w:num>
  <w:num w:numId="5">
    <w:abstractNumId w:val="3"/>
  </w:num>
  <w:num w:numId="6">
    <w:abstractNumId w:val="38"/>
  </w:num>
  <w:num w:numId="7">
    <w:abstractNumId w:val="13"/>
  </w:num>
  <w:num w:numId="8">
    <w:abstractNumId w:val="2"/>
  </w:num>
  <w:num w:numId="9">
    <w:abstractNumId w:val="32"/>
  </w:num>
  <w:num w:numId="10">
    <w:abstractNumId w:val="17"/>
  </w:num>
  <w:num w:numId="11">
    <w:abstractNumId w:val="31"/>
  </w:num>
  <w:num w:numId="12">
    <w:abstractNumId w:val="5"/>
  </w:num>
  <w:num w:numId="13">
    <w:abstractNumId w:val="36"/>
  </w:num>
  <w:num w:numId="14">
    <w:abstractNumId w:val="19"/>
  </w:num>
  <w:num w:numId="15">
    <w:abstractNumId w:val="6"/>
  </w:num>
  <w:num w:numId="16">
    <w:abstractNumId w:val="33"/>
  </w:num>
  <w:num w:numId="17">
    <w:abstractNumId w:val="39"/>
  </w:num>
  <w:num w:numId="18">
    <w:abstractNumId w:val="12"/>
  </w:num>
  <w:num w:numId="19">
    <w:abstractNumId w:val="25"/>
  </w:num>
  <w:num w:numId="20">
    <w:abstractNumId w:val="42"/>
  </w:num>
  <w:num w:numId="21">
    <w:abstractNumId w:val="14"/>
  </w:num>
  <w:num w:numId="22">
    <w:abstractNumId w:val="9"/>
  </w:num>
  <w:num w:numId="23">
    <w:abstractNumId w:val="15"/>
  </w:num>
  <w:num w:numId="24">
    <w:abstractNumId w:val="28"/>
  </w:num>
  <w:num w:numId="25">
    <w:abstractNumId w:val="30"/>
  </w:num>
  <w:num w:numId="26">
    <w:abstractNumId w:val="0"/>
  </w:num>
  <w:num w:numId="27">
    <w:abstractNumId w:val="22"/>
  </w:num>
  <w:num w:numId="28">
    <w:abstractNumId w:val="24"/>
  </w:num>
  <w:num w:numId="29">
    <w:abstractNumId w:val="37"/>
  </w:num>
  <w:num w:numId="30">
    <w:abstractNumId w:val="18"/>
  </w:num>
  <w:num w:numId="31">
    <w:abstractNumId w:val="10"/>
  </w:num>
  <w:num w:numId="32">
    <w:abstractNumId w:val="44"/>
  </w:num>
  <w:num w:numId="33">
    <w:abstractNumId w:val="43"/>
  </w:num>
  <w:num w:numId="34">
    <w:abstractNumId w:val="16"/>
  </w:num>
  <w:num w:numId="35">
    <w:abstractNumId w:val="11"/>
  </w:num>
  <w:num w:numId="36">
    <w:abstractNumId w:val="27"/>
  </w:num>
  <w:num w:numId="37">
    <w:abstractNumId w:val="35"/>
  </w:num>
  <w:num w:numId="38">
    <w:abstractNumId w:val="23"/>
  </w:num>
  <w:num w:numId="39">
    <w:abstractNumId w:val="26"/>
  </w:num>
  <w:num w:numId="40">
    <w:abstractNumId w:val="8"/>
  </w:num>
  <w:num w:numId="41">
    <w:abstractNumId w:val="34"/>
  </w:num>
  <w:num w:numId="42">
    <w:abstractNumId w:val="20"/>
  </w:num>
  <w:num w:numId="43">
    <w:abstractNumId w:val="40"/>
  </w:num>
  <w:num w:numId="44">
    <w:abstractNumId w:val="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0A6CHekK1qOqZrbJFJflDTXLwxN8UsqbAf6rk1Dj3hgdrCL9HzZVT5XfsYCCDkC+"/>
  </w:docVars>
  <w:rsids>
    <w:rsidRoot w:val="008544CD"/>
    <w:rsid w:val="00017E1F"/>
    <w:rsid w:val="00025D18"/>
    <w:rsid w:val="00040A2A"/>
    <w:rsid w:val="00041ADC"/>
    <w:rsid w:val="00051619"/>
    <w:rsid w:val="00057C6A"/>
    <w:rsid w:val="00060D23"/>
    <w:rsid w:val="00064120"/>
    <w:rsid w:val="000961FB"/>
    <w:rsid w:val="000A14DA"/>
    <w:rsid w:val="000B54BC"/>
    <w:rsid w:val="000C1E1D"/>
    <w:rsid w:val="000C283C"/>
    <w:rsid w:val="000C5B69"/>
    <w:rsid w:val="000D17D0"/>
    <w:rsid w:val="000D392E"/>
    <w:rsid w:val="000D39E2"/>
    <w:rsid w:val="000D43EA"/>
    <w:rsid w:val="000D4BFA"/>
    <w:rsid w:val="000F2C4D"/>
    <w:rsid w:val="000F301E"/>
    <w:rsid w:val="001003B8"/>
    <w:rsid w:val="0010247A"/>
    <w:rsid w:val="00102CDF"/>
    <w:rsid w:val="001071D0"/>
    <w:rsid w:val="00112C51"/>
    <w:rsid w:val="00114C84"/>
    <w:rsid w:val="00125521"/>
    <w:rsid w:val="00144B4C"/>
    <w:rsid w:val="00145631"/>
    <w:rsid w:val="00153779"/>
    <w:rsid w:val="00160187"/>
    <w:rsid w:val="0016718B"/>
    <w:rsid w:val="001725DE"/>
    <w:rsid w:val="001729E3"/>
    <w:rsid w:val="001768C6"/>
    <w:rsid w:val="00192FB5"/>
    <w:rsid w:val="00193FEA"/>
    <w:rsid w:val="001A131F"/>
    <w:rsid w:val="001B1322"/>
    <w:rsid w:val="001C0694"/>
    <w:rsid w:val="001C170B"/>
    <w:rsid w:val="001C3A3F"/>
    <w:rsid w:val="001C4B5D"/>
    <w:rsid w:val="001E623B"/>
    <w:rsid w:val="001F1F7F"/>
    <w:rsid w:val="002037F3"/>
    <w:rsid w:val="0021662C"/>
    <w:rsid w:val="002174F2"/>
    <w:rsid w:val="0022109D"/>
    <w:rsid w:val="00223B04"/>
    <w:rsid w:val="00224247"/>
    <w:rsid w:val="00233316"/>
    <w:rsid w:val="002400A6"/>
    <w:rsid w:val="00243C70"/>
    <w:rsid w:val="00251C1A"/>
    <w:rsid w:val="00265605"/>
    <w:rsid w:val="00272BE1"/>
    <w:rsid w:val="0027388F"/>
    <w:rsid w:val="002B1B8D"/>
    <w:rsid w:val="002C5061"/>
    <w:rsid w:val="002D351C"/>
    <w:rsid w:val="002D580D"/>
    <w:rsid w:val="002E5915"/>
    <w:rsid w:val="002E6171"/>
    <w:rsid w:val="002E72B7"/>
    <w:rsid w:val="002F25F3"/>
    <w:rsid w:val="002F6B16"/>
    <w:rsid w:val="00302497"/>
    <w:rsid w:val="00311D16"/>
    <w:rsid w:val="00311EB3"/>
    <w:rsid w:val="003124D9"/>
    <w:rsid w:val="00314720"/>
    <w:rsid w:val="003266DB"/>
    <w:rsid w:val="003343B9"/>
    <w:rsid w:val="003443E8"/>
    <w:rsid w:val="003450B4"/>
    <w:rsid w:val="003503FC"/>
    <w:rsid w:val="0036293A"/>
    <w:rsid w:val="0037336F"/>
    <w:rsid w:val="003737E7"/>
    <w:rsid w:val="00384FD8"/>
    <w:rsid w:val="00391682"/>
    <w:rsid w:val="00394B37"/>
    <w:rsid w:val="003974FB"/>
    <w:rsid w:val="003A3D5F"/>
    <w:rsid w:val="003A44EA"/>
    <w:rsid w:val="003B4E0C"/>
    <w:rsid w:val="003C1A9E"/>
    <w:rsid w:val="003C5C4E"/>
    <w:rsid w:val="003C76AD"/>
    <w:rsid w:val="003E148A"/>
    <w:rsid w:val="003F12CF"/>
    <w:rsid w:val="003F1C64"/>
    <w:rsid w:val="003F2824"/>
    <w:rsid w:val="003F4AF3"/>
    <w:rsid w:val="003F71AE"/>
    <w:rsid w:val="004032B8"/>
    <w:rsid w:val="00412CB1"/>
    <w:rsid w:val="0041767E"/>
    <w:rsid w:val="0042387B"/>
    <w:rsid w:val="00427F2C"/>
    <w:rsid w:val="00431EE3"/>
    <w:rsid w:val="004323CD"/>
    <w:rsid w:val="00433316"/>
    <w:rsid w:val="004362D3"/>
    <w:rsid w:val="0044212B"/>
    <w:rsid w:val="004477CD"/>
    <w:rsid w:val="004517A7"/>
    <w:rsid w:val="00454B32"/>
    <w:rsid w:val="00472ADA"/>
    <w:rsid w:val="004733DB"/>
    <w:rsid w:val="004753F4"/>
    <w:rsid w:val="004910B4"/>
    <w:rsid w:val="00491CFA"/>
    <w:rsid w:val="004938A3"/>
    <w:rsid w:val="00494A9D"/>
    <w:rsid w:val="00495181"/>
    <w:rsid w:val="0049565A"/>
    <w:rsid w:val="004A65C6"/>
    <w:rsid w:val="004B07F5"/>
    <w:rsid w:val="004B78AE"/>
    <w:rsid w:val="004D10C6"/>
    <w:rsid w:val="004E443D"/>
    <w:rsid w:val="004F2213"/>
    <w:rsid w:val="004F40BD"/>
    <w:rsid w:val="004F40DF"/>
    <w:rsid w:val="00502A00"/>
    <w:rsid w:val="005052AA"/>
    <w:rsid w:val="0051297A"/>
    <w:rsid w:val="00525D4A"/>
    <w:rsid w:val="00533872"/>
    <w:rsid w:val="00540C5F"/>
    <w:rsid w:val="005516F6"/>
    <w:rsid w:val="005528F4"/>
    <w:rsid w:val="00580CF7"/>
    <w:rsid w:val="00582756"/>
    <w:rsid w:val="00583E05"/>
    <w:rsid w:val="00585512"/>
    <w:rsid w:val="00587026"/>
    <w:rsid w:val="005A5FAC"/>
    <w:rsid w:val="005B6342"/>
    <w:rsid w:val="005C07B5"/>
    <w:rsid w:val="005E1B5E"/>
    <w:rsid w:val="005E625F"/>
    <w:rsid w:val="005F26ED"/>
    <w:rsid w:val="005F4807"/>
    <w:rsid w:val="00601295"/>
    <w:rsid w:val="0061434E"/>
    <w:rsid w:val="00627C70"/>
    <w:rsid w:val="006356E5"/>
    <w:rsid w:val="00640471"/>
    <w:rsid w:val="006447E9"/>
    <w:rsid w:val="00652353"/>
    <w:rsid w:val="00652D91"/>
    <w:rsid w:val="0065341E"/>
    <w:rsid w:val="00661D52"/>
    <w:rsid w:val="006656CF"/>
    <w:rsid w:val="00666653"/>
    <w:rsid w:val="00695FBA"/>
    <w:rsid w:val="006A05AF"/>
    <w:rsid w:val="006A068E"/>
    <w:rsid w:val="006A74AC"/>
    <w:rsid w:val="006B1E5E"/>
    <w:rsid w:val="006C52BF"/>
    <w:rsid w:val="006C7497"/>
    <w:rsid w:val="006C7DBC"/>
    <w:rsid w:val="006D3BDF"/>
    <w:rsid w:val="006E04C9"/>
    <w:rsid w:val="006E40FB"/>
    <w:rsid w:val="006F4831"/>
    <w:rsid w:val="006F6961"/>
    <w:rsid w:val="00700601"/>
    <w:rsid w:val="00700F82"/>
    <w:rsid w:val="00705248"/>
    <w:rsid w:val="00711ACE"/>
    <w:rsid w:val="00714D13"/>
    <w:rsid w:val="0071678D"/>
    <w:rsid w:val="00725156"/>
    <w:rsid w:val="00727846"/>
    <w:rsid w:val="0073164E"/>
    <w:rsid w:val="00734461"/>
    <w:rsid w:val="00745293"/>
    <w:rsid w:val="0075267D"/>
    <w:rsid w:val="00753126"/>
    <w:rsid w:val="007614A4"/>
    <w:rsid w:val="0076461C"/>
    <w:rsid w:val="00764E8B"/>
    <w:rsid w:val="00767E4B"/>
    <w:rsid w:val="007700EF"/>
    <w:rsid w:val="0077093A"/>
    <w:rsid w:val="007741C3"/>
    <w:rsid w:val="007744B7"/>
    <w:rsid w:val="00786D9D"/>
    <w:rsid w:val="007870EE"/>
    <w:rsid w:val="00792374"/>
    <w:rsid w:val="00797BC3"/>
    <w:rsid w:val="007A4BD4"/>
    <w:rsid w:val="007B068A"/>
    <w:rsid w:val="007B351A"/>
    <w:rsid w:val="007E0684"/>
    <w:rsid w:val="007E2D31"/>
    <w:rsid w:val="007E696A"/>
    <w:rsid w:val="007F448F"/>
    <w:rsid w:val="008007CC"/>
    <w:rsid w:val="00805C18"/>
    <w:rsid w:val="008130A8"/>
    <w:rsid w:val="00830FBD"/>
    <w:rsid w:val="0083146A"/>
    <w:rsid w:val="008367C4"/>
    <w:rsid w:val="008402F7"/>
    <w:rsid w:val="00843AA9"/>
    <w:rsid w:val="00844750"/>
    <w:rsid w:val="008464EC"/>
    <w:rsid w:val="00851CB4"/>
    <w:rsid w:val="008544CD"/>
    <w:rsid w:val="00855290"/>
    <w:rsid w:val="00873F36"/>
    <w:rsid w:val="00875318"/>
    <w:rsid w:val="00877364"/>
    <w:rsid w:val="00892A95"/>
    <w:rsid w:val="008A3EB3"/>
    <w:rsid w:val="008B1519"/>
    <w:rsid w:val="008B350B"/>
    <w:rsid w:val="008B4426"/>
    <w:rsid w:val="008B5737"/>
    <w:rsid w:val="008B6A9C"/>
    <w:rsid w:val="008D1032"/>
    <w:rsid w:val="008D558C"/>
    <w:rsid w:val="008F2903"/>
    <w:rsid w:val="008F325E"/>
    <w:rsid w:val="008F4028"/>
    <w:rsid w:val="008F6346"/>
    <w:rsid w:val="008F70A6"/>
    <w:rsid w:val="009033AF"/>
    <w:rsid w:val="0090396E"/>
    <w:rsid w:val="00903BC6"/>
    <w:rsid w:val="00905D39"/>
    <w:rsid w:val="00914425"/>
    <w:rsid w:val="00915A7A"/>
    <w:rsid w:val="00916F6D"/>
    <w:rsid w:val="0092130E"/>
    <w:rsid w:val="0092499B"/>
    <w:rsid w:val="00925CDA"/>
    <w:rsid w:val="0092754F"/>
    <w:rsid w:val="00931EFE"/>
    <w:rsid w:val="009321D2"/>
    <w:rsid w:val="00935D50"/>
    <w:rsid w:val="00940D34"/>
    <w:rsid w:val="009424B4"/>
    <w:rsid w:val="009460FE"/>
    <w:rsid w:val="009611E5"/>
    <w:rsid w:val="00961380"/>
    <w:rsid w:val="00962BBE"/>
    <w:rsid w:val="00977DAE"/>
    <w:rsid w:val="00984A78"/>
    <w:rsid w:val="009854F8"/>
    <w:rsid w:val="009A1925"/>
    <w:rsid w:val="009B370A"/>
    <w:rsid w:val="009C1C43"/>
    <w:rsid w:val="009C7087"/>
    <w:rsid w:val="009C7824"/>
    <w:rsid w:val="009D178F"/>
    <w:rsid w:val="009E15B7"/>
    <w:rsid w:val="009E1EF6"/>
    <w:rsid w:val="009E595A"/>
    <w:rsid w:val="009E767C"/>
    <w:rsid w:val="009F01AD"/>
    <w:rsid w:val="009F3B4A"/>
    <w:rsid w:val="00A03B11"/>
    <w:rsid w:val="00A05F12"/>
    <w:rsid w:val="00A07D88"/>
    <w:rsid w:val="00A10347"/>
    <w:rsid w:val="00A2008B"/>
    <w:rsid w:val="00A26845"/>
    <w:rsid w:val="00A30180"/>
    <w:rsid w:val="00A31E36"/>
    <w:rsid w:val="00A3522F"/>
    <w:rsid w:val="00A401B4"/>
    <w:rsid w:val="00A45F06"/>
    <w:rsid w:val="00A472DD"/>
    <w:rsid w:val="00A477E5"/>
    <w:rsid w:val="00A555ED"/>
    <w:rsid w:val="00A64C31"/>
    <w:rsid w:val="00A654EC"/>
    <w:rsid w:val="00A71094"/>
    <w:rsid w:val="00A7543E"/>
    <w:rsid w:val="00A847B1"/>
    <w:rsid w:val="00A90898"/>
    <w:rsid w:val="00A91BEC"/>
    <w:rsid w:val="00AA5198"/>
    <w:rsid w:val="00AB082C"/>
    <w:rsid w:val="00AB7D36"/>
    <w:rsid w:val="00AC65A1"/>
    <w:rsid w:val="00AE7F12"/>
    <w:rsid w:val="00AF0AF3"/>
    <w:rsid w:val="00AF66C8"/>
    <w:rsid w:val="00B01023"/>
    <w:rsid w:val="00B031F3"/>
    <w:rsid w:val="00B055B6"/>
    <w:rsid w:val="00B12EB0"/>
    <w:rsid w:val="00B14E8F"/>
    <w:rsid w:val="00B21AF6"/>
    <w:rsid w:val="00B2542D"/>
    <w:rsid w:val="00B26961"/>
    <w:rsid w:val="00B318B3"/>
    <w:rsid w:val="00B31D31"/>
    <w:rsid w:val="00B33074"/>
    <w:rsid w:val="00B553CA"/>
    <w:rsid w:val="00B6058F"/>
    <w:rsid w:val="00B60FC9"/>
    <w:rsid w:val="00B6590D"/>
    <w:rsid w:val="00B65B7C"/>
    <w:rsid w:val="00B71C72"/>
    <w:rsid w:val="00B83102"/>
    <w:rsid w:val="00B93682"/>
    <w:rsid w:val="00BA2E72"/>
    <w:rsid w:val="00BA37A6"/>
    <w:rsid w:val="00BA6C24"/>
    <w:rsid w:val="00BB1EC4"/>
    <w:rsid w:val="00BC3206"/>
    <w:rsid w:val="00BD1E25"/>
    <w:rsid w:val="00BD5C89"/>
    <w:rsid w:val="00BF0116"/>
    <w:rsid w:val="00BF2AF0"/>
    <w:rsid w:val="00C02D93"/>
    <w:rsid w:val="00C118B2"/>
    <w:rsid w:val="00C27E20"/>
    <w:rsid w:val="00C360EF"/>
    <w:rsid w:val="00C377CF"/>
    <w:rsid w:val="00C4076B"/>
    <w:rsid w:val="00C42C28"/>
    <w:rsid w:val="00C43F33"/>
    <w:rsid w:val="00C57154"/>
    <w:rsid w:val="00C5761A"/>
    <w:rsid w:val="00C57798"/>
    <w:rsid w:val="00C6338F"/>
    <w:rsid w:val="00C664CE"/>
    <w:rsid w:val="00C71EC6"/>
    <w:rsid w:val="00C72668"/>
    <w:rsid w:val="00C766D7"/>
    <w:rsid w:val="00C76A0E"/>
    <w:rsid w:val="00C90964"/>
    <w:rsid w:val="00C91997"/>
    <w:rsid w:val="00C977D3"/>
    <w:rsid w:val="00CA3269"/>
    <w:rsid w:val="00CA391F"/>
    <w:rsid w:val="00CA473C"/>
    <w:rsid w:val="00CB3B03"/>
    <w:rsid w:val="00CC12C1"/>
    <w:rsid w:val="00CC4D9A"/>
    <w:rsid w:val="00CE0BF8"/>
    <w:rsid w:val="00CE63D1"/>
    <w:rsid w:val="00CE71E2"/>
    <w:rsid w:val="00CE7F5C"/>
    <w:rsid w:val="00D005DE"/>
    <w:rsid w:val="00D11610"/>
    <w:rsid w:val="00D1243F"/>
    <w:rsid w:val="00D12A52"/>
    <w:rsid w:val="00D163C6"/>
    <w:rsid w:val="00D2151D"/>
    <w:rsid w:val="00D23898"/>
    <w:rsid w:val="00D30894"/>
    <w:rsid w:val="00D3315C"/>
    <w:rsid w:val="00D7002F"/>
    <w:rsid w:val="00D72503"/>
    <w:rsid w:val="00D73AEA"/>
    <w:rsid w:val="00D774CF"/>
    <w:rsid w:val="00D86ACC"/>
    <w:rsid w:val="00D94AE3"/>
    <w:rsid w:val="00D9707A"/>
    <w:rsid w:val="00DA1D87"/>
    <w:rsid w:val="00DB5F01"/>
    <w:rsid w:val="00DC1408"/>
    <w:rsid w:val="00DC35FE"/>
    <w:rsid w:val="00DE1147"/>
    <w:rsid w:val="00E0129D"/>
    <w:rsid w:val="00E05DCD"/>
    <w:rsid w:val="00E078E9"/>
    <w:rsid w:val="00E16D9D"/>
    <w:rsid w:val="00E236D1"/>
    <w:rsid w:val="00E528D9"/>
    <w:rsid w:val="00E67013"/>
    <w:rsid w:val="00E77F31"/>
    <w:rsid w:val="00E954DF"/>
    <w:rsid w:val="00EA0FD6"/>
    <w:rsid w:val="00EA4A73"/>
    <w:rsid w:val="00EC0E9C"/>
    <w:rsid w:val="00EC430C"/>
    <w:rsid w:val="00EC624D"/>
    <w:rsid w:val="00EC7531"/>
    <w:rsid w:val="00ED6506"/>
    <w:rsid w:val="00ED6FD5"/>
    <w:rsid w:val="00ED7848"/>
    <w:rsid w:val="00EE270C"/>
    <w:rsid w:val="00F078C1"/>
    <w:rsid w:val="00F15C63"/>
    <w:rsid w:val="00F32E4C"/>
    <w:rsid w:val="00F365C7"/>
    <w:rsid w:val="00F41E98"/>
    <w:rsid w:val="00F47F26"/>
    <w:rsid w:val="00F543AF"/>
    <w:rsid w:val="00F55837"/>
    <w:rsid w:val="00F5672D"/>
    <w:rsid w:val="00F72B49"/>
    <w:rsid w:val="00F76FCE"/>
    <w:rsid w:val="00F80531"/>
    <w:rsid w:val="00F846A1"/>
    <w:rsid w:val="00F9065B"/>
    <w:rsid w:val="00F96688"/>
    <w:rsid w:val="00F97805"/>
    <w:rsid w:val="00FA3623"/>
    <w:rsid w:val="00FA7E6B"/>
    <w:rsid w:val="00FB130E"/>
    <w:rsid w:val="00FC01EA"/>
    <w:rsid w:val="00FC2ACC"/>
    <w:rsid w:val="00FC4A73"/>
    <w:rsid w:val="00FC7992"/>
    <w:rsid w:val="00FD0C00"/>
    <w:rsid w:val="00FD1261"/>
    <w:rsid w:val="00FD4CF2"/>
    <w:rsid w:val="00FD7D10"/>
    <w:rsid w:val="00FE0F37"/>
    <w:rsid w:val="00FE2697"/>
    <w:rsid w:val="00FE2813"/>
    <w:rsid w:val="00FE317B"/>
    <w:rsid w:val="00FE56A4"/>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34058"/>
  <w15:docId w15:val="{E1F18736-CAC6-4E62-B0DA-D59F236B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338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character" w:styleId="Hyperlink">
    <w:name w:val="Hyperlink"/>
    <w:uiPriority w:val="99"/>
    <w:semiHidden/>
    <w:unhideWhenUsed/>
    <w:rsid w:val="00A30180"/>
    <w:rPr>
      <w:color w:val="0000FF"/>
      <w:u w:val="single"/>
    </w:rPr>
  </w:style>
  <w:style w:type="paragraph" w:styleId="NormalWeb">
    <w:name w:val="Normal (Web)"/>
    <w:basedOn w:val="Normal"/>
    <w:uiPriority w:val="99"/>
    <w:semiHidden/>
    <w:unhideWhenUsed/>
    <w:rsid w:val="00A30180"/>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53387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14859511">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486937420">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884101287">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64482633">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798992003">
      <w:bodyDiv w:val="1"/>
      <w:marLeft w:val="0"/>
      <w:marRight w:val="0"/>
      <w:marTop w:val="0"/>
      <w:marBottom w:val="0"/>
      <w:divBdr>
        <w:top w:val="none" w:sz="0" w:space="0" w:color="auto"/>
        <w:left w:val="none" w:sz="0" w:space="0" w:color="auto"/>
        <w:bottom w:val="none" w:sz="0" w:space="0" w:color="auto"/>
        <w:right w:val="none" w:sz="0" w:space="0" w:color="auto"/>
      </w:divBdr>
    </w:div>
    <w:div w:id="1919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4" ma:contentTypeDescription="Create a new document." ma:contentTypeScope="" ma:versionID="0a2bffe082351f7b9b4935a19c0f4f60">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590e9e1f525483fcfa47e8d4792eebe"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9407-7D34-4A3D-ADC0-5BE0DCFD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EAF7-D3F6-4160-A37D-69A483C84CFA}">
  <ds:schemaRefs>
    <ds:schemaRef ds:uri="http://schemas.microsoft.com/sharepoint/v3/contenttype/forms"/>
  </ds:schemaRefs>
</ds:datastoreItem>
</file>

<file path=customXml/itemProps3.xml><?xml version="1.0" encoding="utf-8"?>
<ds:datastoreItem xmlns:ds="http://schemas.openxmlformats.org/officeDocument/2006/customXml" ds:itemID="{771C6838-CAF8-44B7-862E-0286C3BF0A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4b952a-cdab-49d8-a572-68fa4f4b8e9d"/>
    <ds:schemaRef ds:uri="http://purl.org/dc/terms/"/>
    <ds:schemaRef ds:uri="cf4fbdc1-3486-4097-bd2f-409effe1755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8A3A37-DE41-4195-9740-55B028C7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4452</Characters>
  <Application>Microsoft Office Word</Application>
  <DocSecurity>4</DocSecurity>
  <Lines>134</Lines>
  <Paragraphs>52</Paragraphs>
  <ScaleCrop>false</ScaleCrop>
  <HeadingPairs>
    <vt:vector size="2" baseType="variant">
      <vt:variant>
        <vt:lpstr>Title</vt:lpstr>
      </vt:variant>
      <vt:variant>
        <vt:i4>1</vt:i4>
      </vt:variant>
    </vt:vector>
  </HeadingPairs>
  <TitlesOfParts>
    <vt:vector size="1" baseType="lpstr">
      <vt:lpstr>Schools Forum</vt:lpstr>
    </vt:vector>
  </TitlesOfParts>
  <Company>Service Birmingham</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dc:title>
  <dc:subject/>
  <dc:creator>Diane Lewis</dc:creator>
  <cp:keywords/>
  <dc:description/>
  <cp:lastModifiedBy>Vikki Rainbow</cp:lastModifiedBy>
  <cp:revision>2</cp:revision>
  <cp:lastPrinted>2014-04-30T13:04:00Z</cp:lastPrinted>
  <dcterms:created xsi:type="dcterms:W3CDTF">2022-01-18T12:15:00Z</dcterms:created>
  <dcterms:modified xsi:type="dcterms:W3CDTF">2022-01-18T12:15:00Z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