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63F4" w14:textId="1DE598AE" w:rsidR="008E5E89" w:rsidRDefault="00D0261F" w:rsidP="00EF0961">
      <w:pPr>
        <w:rPr>
          <w:rFonts w:asciiTheme="minorHAnsi" w:hAnsiTheme="minorHAnsi" w:cstheme="minorHAnsi"/>
          <w:b/>
          <w:sz w:val="28"/>
        </w:rPr>
      </w:pPr>
      <w:bookmarkStart w:id="0" w:name="_GoBack"/>
      <w:bookmarkEnd w:id="0"/>
      <w:r>
        <w:rPr>
          <w:rFonts w:asciiTheme="minorHAnsi" w:hAnsiTheme="minorHAnsi" w:cstheme="minorHAnsi"/>
          <w:b/>
          <w:sz w:val="28"/>
        </w:rPr>
        <w:t xml:space="preserve">Early Years and Childcare Service - </w:t>
      </w:r>
      <w:r w:rsidR="00B90629">
        <w:rPr>
          <w:rFonts w:asciiTheme="minorHAnsi" w:hAnsiTheme="minorHAnsi" w:cstheme="minorHAnsi"/>
          <w:b/>
          <w:sz w:val="28"/>
        </w:rPr>
        <w:t>S</w:t>
      </w:r>
      <w:r w:rsidR="000341FD">
        <w:rPr>
          <w:rFonts w:asciiTheme="minorHAnsi" w:hAnsiTheme="minorHAnsi" w:cstheme="minorHAnsi"/>
          <w:b/>
          <w:sz w:val="28"/>
        </w:rPr>
        <w:t>upporting children with SEND in Early Years</w:t>
      </w:r>
    </w:p>
    <w:p w14:paraId="0C1F1BB0" w14:textId="08B75615" w:rsidR="00861386" w:rsidRPr="00BA3617" w:rsidRDefault="00861386" w:rsidP="00EF0961">
      <w:pPr>
        <w:rPr>
          <w:rFonts w:asciiTheme="minorHAnsi" w:hAnsiTheme="minorHAnsi" w:cstheme="minorHAnsi"/>
          <w:b/>
          <w:sz w:val="28"/>
        </w:rPr>
      </w:pPr>
      <w:r>
        <w:rPr>
          <w:rFonts w:asciiTheme="minorHAnsi" w:hAnsiTheme="minorHAnsi" w:cstheme="minorHAnsi"/>
          <w:b/>
          <w:sz w:val="28"/>
        </w:rPr>
        <w:t>07 November 2019</w:t>
      </w:r>
    </w:p>
    <w:p w14:paraId="4317B6F1" w14:textId="77777777" w:rsidR="003259D5" w:rsidRPr="00E6163E" w:rsidRDefault="003259D5" w:rsidP="003259D5">
      <w:pPr>
        <w:pStyle w:val="ListParagraph"/>
        <w:numPr>
          <w:ilvl w:val="0"/>
          <w:numId w:val="12"/>
        </w:numPr>
        <w:spacing w:after="120" w:line="240" w:lineRule="auto"/>
        <w:contextualSpacing w:val="0"/>
        <w:rPr>
          <w:rFonts w:asciiTheme="minorHAnsi" w:hAnsiTheme="minorHAnsi" w:cstheme="minorHAnsi"/>
        </w:rPr>
      </w:pPr>
      <w:r>
        <w:rPr>
          <w:rFonts w:asciiTheme="minorHAnsi" w:hAnsiTheme="minorHAnsi" w:cstheme="minorHAnsi"/>
          <w:b/>
          <w:sz w:val="24"/>
        </w:rPr>
        <w:t>Background</w:t>
      </w:r>
    </w:p>
    <w:p w14:paraId="6E28B6EB" w14:textId="6BA3388E" w:rsidR="001E2F0D" w:rsidRDefault="005B1487" w:rsidP="005B1487">
      <w:pPr>
        <w:pStyle w:val="ListParagraph"/>
        <w:numPr>
          <w:ilvl w:val="1"/>
          <w:numId w:val="12"/>
        </w:numPr>
        <w:spacing w:after="120" w:line="240" w:lineRule="auto"/>
        <w:ind w:left="567" w:hanging="567"/>
        <w:contextualSpacing w:val="0"/>
      </w:pPr>
      <w:r>
        <w:t xml:space="preserve">An amount of £2.7m has been identified from previous Early Years underspend of the DSG that Schools Forum have agreed should be reinvested into Early Years </w:t>
      </w:r>
      <w:r w:rsidR="00E84FCB">
        <w:t>particularly around supporting children with SEND to access their education.</w:t>
      </w:r>
    </w:p>
    <w:p w14:paraId="6FBD857C" w14:textId="13B0FF95" w:rsidR="00E84FCB" w:rsidRDefault="00E84FCB" w:rsidP="005B1487">
      <w:pPr>
        <w:pStyle w:val="ListParagraph"/>
        <w:numPr>
          <w:ilvl w:val="1"/>
          <w:numId w:val="12"/>
        </w:numPr>
        <w:spacing w:after="120" w:line="240" w:lineRule="auto"/>
        <w:ind w:left="567" w:hanging="567"/>
        <w:contextualSpacing w:val="0"/>
      </w:pPr>
      <w:r>
        <w:t>There was an intention as part of the agreement that the investment should l</w:t>
      </w:r>
      <w:r w:rsidR="0043024D">
        <w:t xml:space="preserve">ead to a reduction in expensive external placements for children later in their lives. </w:t>
      </w:r>
    </w:p>
    <w:p w14:paraId="0849A4B0" w14:textId="4F8B7E60" w:rsidR="0043024D" w:rsidRDefault="0043024D" w:rsidP="005B1487">
      <w:pPr>
        <w:pStyle w:val="ListParagraph"/>
        <w:numPr>
          <w:ilvl w:val="1"/>
          <w:numId w:val="12"/>
        </w:numPr>
        <w:spacing w:after="120" w:line="240" w:lineRule="auto"/>
        <w:ind w:left="567" w:hanging="567"/>
        <w:contextualSpacing w:val="0"/>
      </w:pPr>
      <w:r>
        <w:t>Activity should therefore be linked to an “invest to save” model.</w:t>
      </w:r>
    </w:p>
    <w:p w14:paraId="357C1286" w14:textId="0558926E" w:rsidR="006E0D13" w:rsidRDefault="006E0D13" w:rsidP="005B1487">
      <w:pPr>
        <w:pStyle w:val="ListParagraph"/>
        <w:numPr>
          <w:ilvl w:val="1"/>
          <w:numId w:val="12"/>
        </w:numPr>
        <w:spacing w:after="120" w:line="240" w:lineRule="auto"/>
        <w:ind w:left="567" w:hanging="567"/>
        <w:contextualSpacing w:val="0"/>
      </w:pPr>
      <w:r>
        <w:t xml:space="preserve">The Early Years and Childcare Service are overseeing the spend of £1m of the overall £2.7m budget. </w:t>
      </w:r>
    </w:p>
    <w:p w14:paraId="31F6314F" w14:textId="77777777" w:rsidR="00EB083C" w:rsidRDefault="00EB083C" w:rsidP="00EB083C">
      <w:pPr>
        <w:spacing w:after="120" w:line="240" w:lineRule="auto"/>
      </w:pPr>
    </w:p>
    <w:p w14:paraId="2AFE446B" w14:textId="362FBCEC" w:rsidR="003259D5" w:rsidRPr="003259D5" w:rsidRDefault="00EB083C" w:rsidP="003259D5">
      <w:pPr>
        <w:pStyle w:val="ListParagraph"/>
        <w:numPr>
          <w:ilvl w:val="0"/>
          <w:numId w:val="12"/>
        </w:numPr>
        <w:spacing w:after="120" w:line="240" w:lineRule="auto"/>
        <w:contextualSpacing w:val="0"/>
        <w:rPr>
          <w:b/>
          <w:sz w:val="24"/>
        </w:rPr>
      </w:pPr>
      <w:r>
        <w:rPr>
          <w:b/>
          <w:sz w:val="24"/>
        </w:rPr>
        <w:t>Outline of Proposals</w:t>
      </w:r>
    </w:p>
    <w:tbl>
      <w:tblPr>
        <w:tblStyle w:val="TableGrid"/>
        <w:tblW w:w="14596" w:type="dxa"/>
        <w:tblLook w:val="04A0" w:firstRow="1" w:lastRow="0" w:firstColumn="1" w:lastColumn="0" w:noHBand="0" w:noVBand="1"/>
      </w:tblPr>
      <w:tblGrid>
        <w:gridCol w:w="2263"/>
        <w:gridCol w:w="1276"/>
        <w:gridCol w:w="11057"/>
      </w:tblGrid>
      <w:tr w:rsidR="000C10F8" w14:paraId="561CEA88" w14:textId="77777777" w:rsidTr="00E2694E">
        <w:tc>
          <w:tcPr>
            <w:tcW w:w="2263" w:type="dxa"/>
          </w:tcPr>
          <w:p w14:paraId="562DE96D" w14:textId="3A347452" w:rsidR="000C10F8" w:rsidRDefault="000C10F8" w:rsidP="000C10F8">
            <w:pPr>
              <w:spacing w:after="120" w:line="240" w:lineRule="auto"/>
              <w:rPr>
                <w:rFonts w:asciiTheme="minorHAnsi" w:hAnsiTheme="minorHAnsi" w:cstheme="minorHAnsi"/>
              </w:rPr>
            </w:pPr>
            <w:r>
              <w:rPr>
                <w:rFonts w:asciiTheme="minorHAnsi" w:hAnsiTheme="minorHAnsi" w:cstheme="minorHAnsi"/>
              </w:rPr>
              <w:t>Project Name</w:t>
            </w:r>
          </w:p>
        </w:tc>
        <w:tc>
          <w:tcPr>
            <w:tcW w:w="1276" w:type="dxa"/>
          </w:tcPr>
          <w:p w14:paraId="3A60DB7B" w14:textId="458C2C49" w:rsidR="000C10F8" w:rsidRDefault="000C10F8" w:rsidP="000C10F8">
            <w:pPr>
              <w:spacing w:after="120" w:line="240" w:lineRule="auto"/>
              <w:rPr>
                <w:rFonts w:asciiTheme="minorHAnsi" w:hAnsiTheme="minorHAnsi" w:cstheme="minorHAnsi"/>
              </w:rPr>
            </w:pPr>
            <w:r>
              <w:rPr>
                <w:rFonts w:asciiTheme="minorHAnsi" w:hAnsiTheme="minorHAnsi" w:cstheme="minorHAnsi"/>
              </w:rPr>
              <w:t>Amount of Funding</w:t>
            </w:r>
          </w:p>
        </w:tc>
        <w:tc>
          <w:tcPr>
            <w:tcW w:w="11057" w:type="dxa"/>
          </w:tcPr>
          <w:p w14:paraId="30D0D234" w14:textId="4A124E9E" w:rsidR="000C10F8" w:rsidRDefault="000C10F8" w:rsidP="000C10F8">
            <w:pPr>
              <w:spacing w:after="120" w:line="240" w:lineRule="auto"/>
              <w:rPr>
                <w:rFonts w:asciiTheme="minorHAnsi" w:hAnsiTheme="minorHAnsi" w:cstheme="minorHAnsi"/>
              </w:rPr>
            </w:pPr>
            <w:r>
              <w:rPr>
                <w:rFonts w:asciiTheme="minorHAnsi" w:hAnsiTheme="minorHAnsi" w:cstheme="minorHAnsi"/>
              </w:rPr>
              <w:t>Brief Outline of Project</w:t>
            </w:r>
          </w:p>
        </w:tc>
      </w:tr>
      <w:tr w:rsidR="000C10F8" w14:paraId="5BB155B3" w14:textId="77777777" w:rsidTr="00E2694E">
        <w:tc>
          <w:tcPr>
            <w:tcW w:w="2263" w:type="dxa"/>
          </w:tcPr>
          <w:p w14:paraId="2E5E54D9" w14:textId="7B560402" w:rsidR="000C10F8" w:rsidRDefault="00D92C6C" w:rsidP="000C10F8">
            <w:pPr>
              <w:spacing w:after="120" w:line="240" w:lineRule="auto"/>
              <w:rPr>
                <w:rFonts w:asciiTheme="minorHAnsi" w:hAnsiTheme="minorHAnsi" w:cstheme="minorHAnsi"/>
              </w:rPr>
            </w:pPr>
            <w:r>
              <w:rPr>
                <w:rFonts w:asciiTheme="minorHAnsi" w:hAnsiTheme="minorHAnsi" w:cstheme="minorHAnsi"/>
              </w:rPr>
              <w:t>Childminder Inclusion Network/Support</w:t>
            </w:r>
          </w:p>
        </w:tc>
        <w:tc>
          <w:tcPr>
            <w:tcW w:w="1276" w:type="dxa"/>
          </w:tcPr>
          <w:p w14:paraId="73E9E2D1" w14:textId="77AFE1F4" w:rsidR="000C10F8" w:rsidRDefault="00D92C6C" w:rsidP="000C10F8">
            <w:pPr>
              <w:spacing w:after="120" w:line="240" w:lineRule="auto"/>
              <w:rPr>
                <w:rFonts w:asciiTheme="minorHAnsi" w:hAnsiTheme="minorHAnsi" w:cstheme="minorHAnsi"/>
              </w:rPr>
            </w:pPr>
            <w:r>
              <w:rPr>
                <w:rFonts w:asciiTheme="minorHAnsi" w:hAnsiTheme="minorHAnsi" w:cstheme="minorHAnsi"/>
              </w:rPr>
              <w:t>£</w:t>
            </w:r>
            <w:r w:rsidR="00670E15">
              <w:rPr>
                <w:rFonts w:asciiTheme="minorHAnsi" w:hAnsiTheme="minorHAnsi" w:cstheme="minorHAnsi"/>
              </w:rPr>
              <w:t>3</w:t>
            </w:r>
            <w:r>
              <w:rPr>
                <w:rFonts w:asciiTheme="minorHAnsi" w:hAnsiTheme="minorHAnsi" w:cstheme="minorHAnsi"/>
              </w:rPr>
              <w:t>00</w:t>
            </w:r>
            <w:r w:rsidR="00314296">
              <w:rPr>
                <w:rFonts w:asciiTheme="minorHAnsi" w:hAnsiTheme="minorHAnsi" w:cstheme="minorHAnsi"/>
              </w:rPr>
              <w:t>k</w:t>
            </w:r>
          </w:p>
        </w:tc>
        <w:tc>
          <w:tcPr>
            <w:tcW w:w="11057" w:type="dxa"/>
          </w:tcPr>
          <w:p w14:paraId="38C8A4C0" w14:textId="77777777" w:rsidR="000C10F8" w:rsidRDefault="006D7E11" w:rsidP="000C10F8">
            <w:pPr>
              <w:spacing w:after="120" w:line="240" w:lineRule="auto"/>
              <w:rPr>
                <w:rFonts w:asciiTheme="minorHAnsi" w:hAnsiTheme="minorHAnsi" w:cstheme="minorHAnsi"/>
              </w:rPr>
            </w:pPr>
            <w:r>
              <w:rPr>
                <w:rFonts w:asciiTheme="minorHAnsi" w:hAnsiTheme="minorHAnsi" w:cstheme="minorHAnsi"/>
              </w:rPr>
              <w:t>A</w:t>
            </w:r>
            <w:r w:rsidR="00785E1F">
              <w:rPr>
                <w:rFonts w:asciiTheme="minorHAnsi" w:hAnsiTheme="minorHAnsi" w:cstheme="minorHAnsi"/>
              </w:rPr>
              <w:t xml:space="preserve">n </w:t>
            </w:r>
            <w:r>
              <w:rPr>
                <w:rFonts w:asciiTheme="minorHAnsi" w:hAnsiTheme="minorHAnsi" w:cstheme="minorHAnsi"/>
              </w:rPr>
              <w:t xml:space="preserve">inclusion network specifically for childminders which </w:t>
            </w:r>
            <w:r w:rsidR="0018232B">
              <w:rPr>
                <w:rFonts w:asciiTheme="minorHAnsi" w:hAnsiTheme="minorHAnsi" w:cstheme="minorHAnsi"/>
              </w:rPr>
              <w:t xml:space="preserve">can </w:t>
            </w:r>
            <w:r>
              <w:rPr>
                <w:rFonts w:asciiTheme="minorHAnsi" w:hAnsiTheme="minorHAnsi" w:cstheme="minorHAnsi"/>
              </w:rPr>
              <w:t>offer</w:t>
            </w:r>
            <w:r w:rsidR="0018232B">
              <w:rPr>
                <w:rFonts w:asciiTheme="minorHAnsi" w:hAnsiTheme="minorHAnsi" w:cstheme="minorHAnsi"/>
              </w:rPr>
              <w:t xml:space="preserve"> </w:t>
            </w:r>
            <w:r>
              <w:rPr>
                <w:rFonts w:asciiTheme="minorHAnsi" w:hAnsiTheme="minorHAnsi" w:cstheme="minorHAnsi"/>
              </w:rPr>
              <w:t>training and support to childminders who me</w:t>
            </w:r>
            <w:r w:rsidR="0018232B">
              <w:rPr>
                <w:rFonts w:asciiTheme="minorHAnsi" w:hAnsiTheme="minorHAnsi" w:cstheme="minorHAnsi"/>
              </w:rPr>
              <w:t>e</w:t>
            </w:r>
            <w:r>
              <w:rPr>
                <w:rFonts w:asciiTheme="minorHAnsi" w:hAnsiTheme="minorHAnsi" w:cstheme="minorHAnsi"/>
              </w:rPr>
              <w:t>t quality criteri</w:t>
            </w:r>
            <w:r w:rsidR="0018232B">
              <w:rPr>
                <w:rFonts w:asciiTheme="minorHAnsi" w:hAnsiTheme="minorHAnsi" w:cstheme="minorHAnsi"/>
              </w:rPr>
              <w:t>a</w:t>
            </w:r>
            <w:r>
              <w:rPr>
                <w:rFonts w:asciiTheme="minorHAnsi" w:hAnsiTheme="minorHAnsi" w:cstheme="minorHAnsi"/>
              </w:rPr>
              <w:t xml:space="preserve">, </w:t>
            </w:r>
            <w:r w:rsidR="0018232B">
              <w:rPr>
                <w:rFonts w:asciiTheme="minorHAnsi" w:hAnsiTheme="minorHAnsi" w:cstheme="minorHAnsi"/>
              </w:rPr>
              <w:t xml:space="preserve">with a brokerage </w:t>
            </w:r>
            <w:r>
              <w:rPr>
                <w:rFonts w:asciiTheme="minorHAnsi" w:hAnsiTheme="minorHAnsi" w:cstheme="minorHAnsi"/>
              </w:rPr>
              <w:t>service for families seeking more specialist childcare.</w:t>
            </w:r>
            <w:r w:rsidR="0077347D">
              <w:rPr>
                <w:rFonts w:asciiTheme="minorHAnsi" w:hAnsiTheme="minorHAnsi" w:cstheme="minorHAnsi"/>
              </w:rPr>
              <w:t xml:space="preserve"> </w:t>
            </w:r>
            <w:r w:rsidR="00C16AE6">
              <w:rPr>
                <w:rFonts w:asciiTheme="minorHAnsi" w:hAnsiTheme="minorHAnsi" w:cstheme="minorHAnsi"/>
              </w:rPr>
              <w:t xml:space="preserve">It will also </w:t>
            </w:r>
            <w:r w:rsidR="0077347D" w:rsidRPr="0077347D">
              <w:rPr>
                <w:rFonts w:asciiTheme="minorHAnsi" w:hAnsiTheme="minorHAnsi" w:cstheme="minorHAnsi"/>
              </w:rPr>
              <w:t>enable wider support for all childminders so that we can more holistically enable a graduated approach within the mainstream in local areas.</w:t>
            </w:r>
            <w:r w:rsidR="0026412E">
              <w:rPr>
                <w:rFonts w:asciiTheme="minorHAnsi" w:hAnsiTheme="minorHAnsi" w:cstheme="minorHAnsi"/>
              </w:rPr>
              <w:t xml:space="preserve"> </w:t>
            </w:r>
          </w:p>
          <w:p w14:paraId="4245775D" w14:textId="77777777" w:rsidR="0026412E" w:rsidRDefault="0026412E" w:rsidP="000C10F8">
            <w:pPr>
              <w:spacing w:after="120" w:line="240" w:lineRule="auto"/>
              <w:rPr>
                <w:rFonts w:asciiTheme="minorHAnsi" w:hAnsiTheme="minorHAnsi" w:cstheme="minorHAnsi"/>
              </w:rPr>
            </w:pPr>
            <w:r>
              <w:rPr>
                <w:rFonts w:asciiTheme="minorHAnsi" w:hAnsiTheme="minorHAnsi" w:cstheme="minorHAnsi"/>
              </w:rPr>
              <w:t>This could be linked to Children’s Centres</w:t>
            </w:r>
            <w:r w:rsidR="000A6F45">
              <w:rPr>
                <w:rFonts w:asciiTheme="minorHAnsi" w:hAnsiTheme="minorHAnsi" w:cstheme="minorHAnsi"/>
              </w:rPr>
              <w:t xml:space="preserve"> and other local facilities to enable childminder groups</w:t>
            </w:r>
            <w:r w:rsidR="00320F0E">
              <w:rPr>
                <w:rFonts w:asciiTheme="minorHAnsi" w:hAnsiTheme="minorHAnsi" w:cstheme="minorHAnsi"/>
              </w:rPr>
              <w:t xml:space="preserve"> to </w:t>
            </w:r>
            <w:r w:rsidR="00AC4FAA">
              <w:rPr>
                <w:rFonts w:asciiTheme="minorHAnsi" w:hAnsiTheme="minorHAnsi" w:cstheme="minorHAnsi"/>
              </w:rPr>
              <w:t xml:space="preserve">also </w:t>
            </w:r>
            <w:r w:rsidR="00320F0E">
              <w:rPr>
                <w:rFonts w:asciiTheme="minorHAnsi" w:hAnsiTheme="minorHAnsi" w:cstheme="minorHAnsi"/>
              </w:rPr>
              <w:t xml:space="preserve">enable </w:t>
            </w:r>
            <w:r w:rsidR="00AC4FAA">
              <w:rPr>
                <w:rFonts w:asciiTheme="minorHAnsi" w:hAnsiTheme="minorHAnsi" w:cstheme="minorHAnsi"/>
              </w:rPr>
              <w:t xml:space="preserve">opportunities for </w:t>
            </w:r>
            <w:r w:rsidR="00320F0E">
              <w:rPr>
                <w:rFonts w:asciiTheme="minorHAnsi" w:hAnsiTheme="minorHAnsi" w:cstheme="minorHAnsi"/>
              </w:rPr>
              <w:t>peer support.</w:t>
            </w:r>
          </w:p>
          <w:p w14:paraId="6EAF71E5" w14:textId="2289546E" w:rsidR="00AC4FAA" w:rsidRDefault="00AC4FAA" w:rsidP="000C10F8">
            <w:pPr>
              <w:spacing w:after="120" w:line="240" w:lineRule="auto"/>
              <w:rPr>
                <w:rFonts w:asciiTheme="minorHAnsi" w:hAnsiTheme="minorHAnsi" w:cstheme="minorHAnsi"/>
              </w:rPr>
            </w:pPr>
            <w:r>
              <w:rPr>
                <w:rFonts w:asciiTheme="minorHAnsi" w:hAnsiTheme="minorHAnsi" w:cstheme="minorHAnsi"/>
              </w:rPr>
              <w:t>Currently there is no support for childminders who are offering education/care to children with SEND and this is historically a gap.</w:t>
            </w:r>
          </w:p>
        </w:tc>
      </w:tr>
      <w:tr w:rsidR="000C10F8" w14:paraId="52A7BB8E" w14:textId="77777777" w:rsidTr="00E2694E">
        <w:tc>
          <w:tcPr>
            <w:tcW w:w="2263" w:type="dxa"/>
          </w:tcPr>
          <w:p w14:paraId="3D31A971" w14:textId="282289FE" w:rsidR="000C10F8" w:rsidRDefault="00596670" w:rsidP="000C10F8">
            <w:pPr>
              <w:spacing w:after="120" w:line="240" w:lineRule="auto"/>
              <w:rPr>
                <w:rFonts w:asciiTheme="minorHAnsi" w:hAnsiTheme="minorHAnsi" w:cstheme="minorHAnsi"/>
              </w:rPr>
            </w:pPr>
            <w:r w:rsidRPr="00596670">
              <w:rPr>
                <w:rFonts w:asciiTheme="minorHAnsi" w:hAnsiTheme="minorHAnsi" w:cstheme="minorHAnsi"/>
              </w:rPr>
              <w:t>The Castle Approach</w:t>
            </w:r>
          </w:p>
        </w:tc>
        <w:tc>
          <w:tcPr>
            <w:tcW w:w="1276" w:type="dxa"/>
          </w:tcPr>
          <w:p w14:paraId="353E1FBB" w14:textId="22AEE5F2" w:rsidR="00670E15" w:rsidRDefault="00596670" w:rsidP="000C10F8">
            <w:pPr>
              <w:spacing w:after="120" w:line="240" w:lineRule="auto"/>
              <w:rPr>
                <w:rFonts w:asciiTheme="minorHAnsi" w:hAnsiTheme="minorHAnsi" w:cstheme="minorHAnsi"/>
              </w:rPr>
            </w:pPr>
            <w:r>
              <w:rPr>
                <w:rFonts w:asciiTheme="minorHAnsi" w:hAnsiTheme="minorHAnsi" w:cstheme="minorHAnsi"/>
              </w:rPr>
              <w:t>£</w:t>
            </w:r>
            <w:r w:rsidR="00670E15">
              <w:rPr>
                <w:rFonts w:asciiTheme="minorHAnsi" w:hAnsiTheme="minorHAnsi" w:cstheme="minorHAnsi"/>
              </w:rPr>
              <w:t>200k</w:t>
            </w:r>
          </w:p>
        </w:tc>
        <w:tc>
          <w:tcPr>
            <w:tcW w:w="11057" w:type="dxa"/>
          </w:tcPr>
          <w:p w14:paraId="37416F0C" w14:textId="0837AB21" w:rsidR="000C10F8" w:rsidRDefault="007941F0" w:rsidP="000C10F8">
            <w:pPr>
              <w:spacing w:after="120" w:line="240" w:lineRule="auto"/>
              <w:rPr>
                <w:rFonts w:asciiTheme="minorHAnsi" w:hAnsiTheme="minorHAnsi" w:cstheme="minorHAnsi"/>
              </w:rPr>
            </w:pPr>
            <w:r>
              <w:rPr>
                <w:rFonts w:asciiTheme="minorHAnsi" w:hAnsiTheme="minorHAnsi" w:cstheme="minorHAnsi"/>
              </w:rPr>
              <w:t xml:space="preserve">A project to improve the local offer </w:t>
            </w:r>
            <w:r w:rsidR="0066273D">
              <w:rPr>
                <w:rFonts w:asciiTheme="minorHAnsi" w:hAnsiTheme="minorHAnsi" w:cstheme="minorHAnsi"/>
              </w:rPr>
              <w:t>in two areas of Birmingham, l</w:t>
            </w:r>
            <w:r w:rsidR="003A4145">
              <w:rPr>
                <w:rFonts w:asciiTheme="minorHAnsi" w:hAnsiTheme="minorHAnsi" w:cstheme="minorHAnsi"/>
              </w:rPr>
              <w:t xml:space="preserve">ed by </w:t>
            </w:r>
            <w:r w:rsidR="0066273D">
              <w:rPr>
                <w:rFonts w:asciiTheme="minorHAnsi" w:hAnsiTheme="minorHAnsi" w:cstheme="minorHAnsi"/>
              </w:rPr>
              <w:t>two</w:t>
            </w:r>
            <w:r w:rsidR="003A4145">
              <w:rPr>
                <w:rFonts w:asciiTheme="minorHAnsi" w:hAnsiTheme="minorHAnsi" w:cstheme="minorHAnsi"/>
              </w:rPr>
              <w:t xml:space="preserve"> of the City’s Maintained Nursery Schools (Castle Vale in </w:t>
            </w:r>
            <w:r w:rsidR="008032B6">
              <w:rPr>
                <w:rFonts w:asciiTheme="minorHAnsi" w:hAnsiTheme="minorHAnsi" w:cstheme="minorHAnsi"/>
              </w:rPr>
              <w:t>Erdington district</w:t>
            </w:r>
            <w:r w:rsidR="00287FA2">
              <w:rPr>
                <w:rFonts w:asciiTheme="minorHAnsi" w:hAnsiTheme="minorHAnsi" w:cstheme="minorHAnsi"/>
              </w:rPr>
              <w:t xml:space="preserve"> and Weoley Castle in </w:t>
            </w:r>
            <w:r w:rsidR="00FD6E08">
              <w:rPr>
                <w:rFonts w:asciiTheme="minorHAnsi" w:hAnsiTheme="minorHAnsi" w:cstheme="minorHAnsi"/>
              </w:rPr>
              <w:t>Northfield district</w:t>
            </w:r>
            <w:r w:rsidR="00287FA2">
              <w:rPr>
                <w:rFonts w:asciiTheme="minorHAnsi" w:hAnsiTheme="minorHAnsi" w:cstheme="minorHAnsi"/>
              </w:rPr>
              <w:t>).</w:t>
            </w:r>
          </w:p>
          <w:p w14:paraId="2B540DF2" w14:textId="150CA50E" w:rsidR="00AB25D3" w:rsidRDefault="00AB25D3" w:rsidP="000C10F8">
            <w:pPr>
              <w:spacing w:after="120" w:line="240" w:lineRule="auto"/>
              <w:rPr>
                <w:rFonts w:asciiTheme="minorHAnsi" w:hAnsiTheme="minorHAnsi" w:cstheme="minorHAnsi"/>
              </w:rPr>
            </w:pPr>
            <w:r>
              <w:rPr>
                <w:rFonts w:asciiTheme="minorHAnsi" w:hAnsiTheme="minorHAnsi" w:cstheme="minorHAnsi"/>
              </w:rPr>
              <w:t xml:space="preserve">The proposal is to </w:t>
            </w:r>
            <w:r w:rsidRPr="0043319C">
              <w:rPr>
                <w:rFonts w:asciiTheme="minorHAnsi" w:hAnsiTheme="minorHAnsi" w:cstheme="minorHAnsi"/>
              </w:rPr>
              <w:t xml:space="preserve">utilise </w:t>
            </w:r>
            <w:r>
              <w:rPr>
                <w:rFonts w:asciiTheme="minorHAnsi" w:hAnsiTheme="minorHAnsi" w:cstheme="minorHAnsi"/>
              </w:rPr>
              <w:t xml:space="preserve">the </w:t>
            </w:r>
            <w:r w:rsidRPr="0043319C">
              <w:rPr>
                <w:rFonts w:asciiTheme="minorHAnsi" w:hAnsiTheme="minorHAnsi" w:cstheme="minorHAnsi"/>
              </w:rPr>
              <w:t xml:space="preserve">existing Early Learning &amp; Community Childcare Hub in Weoley Castle and create a hub at the Children’s Centre in Castle Vale to bring together the Child Development Centre, Early Years Inclusion Support, Birmingham Forward Steps, Health Visitors, Areas SENCOs, Children’s Centre Staff, Educational Psychologists, Speech and </w:t>
            </w:r>
            <w:r w:rsidRPr="0043319C">
              <w:rPr>
                <w:rFonts w:asciiTheme="minorHAnsi" w:hAnsiTheme="minorHAnsi" w:cstheme="minorHAnsi"/>
              </w:rPr>
              <w:lastRenderedPageBreak/>
              <w:t>Language Therapy, Occupational Therapy, Sensory Support and any other services to identify and support children with Special Educational Needs at the earliest point possible.</w:t>
            </w:r>
            <w:r w:rsidR="00D70C89">
              <w:rPr>
                <w:rFonts w:asciiTheme="minorHAnsi" w:hAnsiTheme="minorHAnsi" w:cstheme="minorHAnsi"/>
              </w:rPr>
              <w:t xml:space="preserve"> This will </w:t>
            </w:r>
            <w:r w:rsidR="008474AF">
              <w:rPr>
                <w:rFonts w:asciiTheme="minorHAnsi" w:hAnsiTheme="minorHAnsi" w:cstheme="minorHAnsi"/>
              </w:rPr>
              <w:t xml:space="preserve">be run as a pilot </w:t>
            </w:r>
            <w:r w:rsidR="00160D81">
              <w:rPr>
                <w:rFonts w:asciiTheme="minorHAnsi" w:hAnsiTheme="minorHAnsi" w:cstheme="minorHAnsi"/>
              </w:rPr>
              <w:t xml:space="preserve">with an evaluation </w:t>
            </w:r>
            <w:r w:rsidR="00F35056">
              <w:rPr>
                <w:rFonts w:asciiTheme="minorHAnsi" w:hAnsiTheme="minorHAnsi" w:cstheme="minorHAnsi"/>
              </w:rPr>
              <w:t>at the end with a view to rolling out the system across the city.</w:t>
            </w:r>
          </w:p>
        </w:tc>
      </w:tr>
      <w:tr w:rsidR="000C10F8" w14:paraId="0D50E652" w14:textId="77777777" w:rsidTr="00E2694E">
        <w:tc>
          <w:tcPr>
            <w:tcW w:w="2263" w:type="dxa"/>
          </w:tcPr>
          <w:p w14:paraId="07D30ABC" w14:textId="68C1B5E8" w:rsidR="000C10F8" w:rsidRDefault="00453327" w:rsidP="000C10F8">
            <w:pPr>
              <w:spacing w:after="120" w:line="240" w:lineRule="auto"/>
              <w:rPr>
                <w:rFonts w:asciiTheme="minorHAnsi" w:hAnsiTheme="minorHAnsi" w:cstheme="minorHAnsi"/>
              </w:rPr>
            </w:pPr>
            <w:r>
              <w:rPr>
                <w:rFonts w:asciiTheme="minorHAnsi" w:hAnsiTheme="minorHAnsi" w:cstheme="minorHAnsi"/>
              </w:rPr>
              <w:lastRenderedPageBreak/>
              <w:t>Well Comm</w:t>
            </w:r>
            <w:r w:rsidR="007C1EDA">
              <w:rPr>
                <w:rFonts w:asciiTheme="minorHAnsi" w:hAnsiTheme="minorHAnsi" w:cstheme="minorHAnsi"/>
              </w:rPr>
              <w:t xml:space="preserve"> Project </w:t>
            </w:r>
          </w:p>
        </w:tc>
        <w:tc>
          <w:tcPr>
            <w:tcW w:w="1276" w:type="dxa"/>
          </w:tcPr>
          <w:p w14:paraId="464F8119" w14:textId="479D860D" w:rsidR="000C10F8" w:rsidRDefault="007C1EDA" w:rsidP="000C10F8">
            <w:pPr>
              <w:spacing w:after="120" w:line="240" w:lineRule="auto"/>
              <w:rPr>
                <w:rFonts w:asciiTheme="minorHAnsi" w:hAnsiTheme="minorHAnsi" w:cstheme="minorHAnsi"/>
              </w:rPr>
            </w:pPr>
            <w:r>
              <w:rPr>
                <w:rFonts w:asciiTheme="minorHAnsi" w:hAnsiTheme="minorHAnsi" w:cstheme="minorHAnsi"/>
              </w:rPr>
              <w:t>£500k</w:t>
            </w:r>
          </w:p>
        </w:tc>
        <w:tc>
          <w:tcPr>
            <w:tcW w:w="11057" w:type="dxa"/>
          </w:tcPr>
          <w:p w14:paraId="7B64AEF7" w14:textId="72829932" w:rsidR="004F6098" w:rsidRDefault="004F6098" w:rsidP="003C3312">
            <w:pPr>
              <w:spacing w:after="120" w:line="240" w:lineRule="auto"/>
              <w:rPr>
                <w:rFonts w:asciiTheme="minorHAnsi" w:hAnsiTheme="minorHAnsi" w:cstheme="minorHAnsi"/>
              </w:rPr>
            </w:pPr>
            <w:r>
              <w:rPr>
                <w:rFonts w:asciiTheme="minorHAnsi" w:hAnsiTheme="minorHAnsi" w:cstheme="minorHAnsi"/>
              </w:rPr>
              <w:t xml:space="preserve">The proportion of children reaching a Good level of development in the Early Years Foundation Stage in Birmingham is in the bottom quartile of all LAs across the country. Speech and Language can make </w:t>
            </w:r>
            <w:r w:rsidR="00BB08D5">
              <w:rPr>
                <w:rFonts w:asciiTheme="minorHAnsi" w:hAnsiTheme="minorHAnsi" w:cstheme="minorHAnsi"/>
              </w:rPr>
              <w:t xml:space="preserve">a </w:t>
            </w:r>
            <w:r>
              <w:rPr>
                <w:rFonts w:asciiTheme="minorHAnsi" w:hAnsiTheme="minorHAnsi" w:cstheme="minorHAnsi"/>
              </w:rPr>
              <w:t>crucial difference in the level of attainment.</w:t>
            </w:r>
          </w:p>
          <w:p w14:paraId="7C931B82" w14:textId="0D972B4C" w:rsidR="00936809" w:rsidRDefault="00315AA6" w:rsidP="003C3312">
            <w:pPr>
              <w:spacing w:after="120" w:line="240" w:lineRule="auto"/>
              <w:rPr>
                <w:rFonts w:asciiTheme="minorHAnsi" w:hAnsiTheme="minorHAnsi" w:cstheme="minorHAnsi"/>
              </w:rPr>
            </w:pPr>
            <w:r w:rsidRPr="00315AA6">
              <w:rPr>
                <w:rFonts w:asciiTheme="minorHAnsi" w:hAnsiTheme="minorHAnsi" w:cstheme="minorHAnsi"/>
              </w:rPr>
              <w:t>WellComm is a speech and language toolkit, specifically designed for children up to six years old. It screens language skills and, if intervention is identified, offers suggestions for fun, play-based activities in the Big Book of Ideas to move children forward.</w:t>
            </w:r>
            <w:r w:rsidR="00936809">
              <w:rPr>
                <w:rFonts w:asciiTheme="minorHAnsi" w:hAnsiTheme="minorHAnsi" w:cstheme="minorHAnsi"/>
              </w:rPr>
              <w:t xml:space="preserve"> </w:t>
            </w:r>
          </w:p>
          <w:p w14:paraId="73187BC3" w14:textId="61F63780" w:rsidR="003A7D42" w:rsidRDefault="00BB08D5" w:rsidP="00BB08D5">
            <w:pPr>
              <w:spacing w:after="120" w:line="240" w:lineRule="auto"/>
              <w:rPr>
                <w:rFonts w:asciiTheme="minorHAnsi" w:hAnsiTheme="minorHAnsi" w:cstheme="minorHAnsi"/>
              </w:rPr>
            </w:pPr>
            <w:r>
              <w:rPr>
                <w:rFonts w:asciiTheme="minorHAnsi" w:hAnsiTheme="minorHAnsi" w:cstheme="minorHAnsi"/>
              </w:rPr>
              <w:t>This project will enable us to purchase a toolkit for all early years education settings across the city and will be rolled out alongside a programme of training</w:t>
            </w:r>
            <w:r w:rsidR="00A414CC">
              <w:rPr>
                <w:rFonts w:asciiTheme="minorHAnsi" w:hAnsiTheme="minorHAnsi" w:cstheme="minorHAnsi"/>
              </w:rPr>
              <w:t xml:space="preserve">. The aim is to develop the early years workforce across the sectors and whole early years system by </w:t>
            </w:r>
            <w:r w:rsidR="00655ED2">
              <w:rPr>
                <w:rFonts w:asciiTheme="minorHAnsi" w:hAnsiTheme="minorHAnsi" w:cstheme="minorHAnsi"/>
              </w:rPr>
              <w:t>offering “train the trainer” opportunities to enable sector-led champions</w:t>
            </w:r>
            <w:r w:rsidR="00E2694E">
              <w:rPr>
                <w:rFonts w:asciiTheme="minorHAnsi" w:hAnsiTheme="minorHAnsi" w:cstheme="minorHAnsi"/>
              </w:rPr>
              <w:t xml:space="preserve">. </w:t>
            </w:r>
            <w:r w:rsidR="00A414CC">
              <w:rPr>
                <w:rFonts w:asciiTheme="minorHAnsi" w:hAnsiTheme="minorHAnsi" w:cstheme="minorHAnsi"/>
              </w:rPr>
              <w:t xml:space="preserve"> </w:t>
            </w:r>
          </w:p>
        </w:tc>
      </w:tr>
      <w:tr w:rsidR="000C10F8" w14:paraId="7D102B8B" w14:textId="77777777" w:rsidTr="00E2694E">
        <w:tc>
          <w:tcPr>
            <w:tcW w:w="2263" w:type="dxa"/>
          </w:tcPr>
          <w:p w14:paraId="79848BFD" w14:textId="563327A1" w:rsidR="000C10F8" w:rsidRPr="00E2694E" w:rsidRDefault="00E2694E" w:rsidP="000C10F8">
            <w:pPr>
              <w:spacing w:after="120" w:line="240" w:lineRule="auto"/>
              <w:rPr>
                <w:rFonts w:asciiTheme="minorHAnsi" w:hAnsiTheme="minorHAnsi" w:cstheme="minorHAnsi"/>
                <w:b/>
                <w:bCs/>
              </w:rPr>
            </w:pPr>
            <w:r w:rsidRPr="00E2694E">
              <w:rPr>
                <w:rFonts w:asciiTheme="minorHAnsi" w:hAnsiTheme="minorHAnsi" w:cstheme="minorHAnsi"/>
                <w:b/>
                <w:bCs/>
              </w:rPr>
              <w:t>Total Resource</w:t>
            </w:r>
          </w:p>
        </w:tc>
        <w:tc>
          <w:tcPr>
            <w:tcW w:w="1276" w:type="dxa"/>
          </w:tcPr>
          <w:p w14:paraId="6CFB6810" w14:textId="5CAB9049" w:rsidR="000C10F8" w:rsidRPr="00E2694E" w:rsidRDefault="00E2694E" w:rsidP="000C10F8">
            <w:pPr>
              <w:spacing w:after="120" w:line="240" w:lineRule="auto"/>
              <w:rPr>
                <w:rFonts w:asciiTheme="minorHAnsi" w:hAnsiTheme="minorHAnsi" w:cstheme="minorHAnsi"/>
                <w:b/>
                <w:bCs/>
              </w:rPr>
            </w:pPr>
            <w:r w:rsidRPr="00E2694E">
              <w:rPr>
                <w:rFonts w:asciiTheme="minorHAnsi" w:hAnsiTheme="minorHAnsi" w:cstheme="minorHAnsi"/>
                <w:b/>
                <w:bCs/>
              </w:rPr>
              <w:t>£1.0m</w:t>
            </w:r>
          </w:p>
        </w:tc>
        <w:tc>
          <w:tcPr>
            <w:tcW w:w="11057" w:type="dxa"/>
          </w:tcPr>
          <w:p w14:paraId="03D42806" w14:textId="77777777" w:rsidR="000C10F8" w:rsidRDefault="000C10F8" w:rsidP="000C10F8">
            <w:pPr>
              <w:spacing w:after="120" w:line="240" w:lineRule="auto"/>
              <w:rPr>
                <w:rFonts w:asciiTheme="minorHAnsi" w:hAnsiTheme="minorHAnsi" w:cstheme="minorHAnsi"/>
              </w:rPr>
            </w:pPr>
          </w:p>
        </w:tc>
      </w:tr>
    </w:tbl>
    <w:p w14:paraId="25D2A002" w14:textId="77777777" w:rsidR="000C10F8" w:rsidRPr="000C10F8" w:rsidRDefault="000C10F8" w:rsidP="000C10F8">
      <w:pPr>
        <w:spacing w:after="120" w:line="240" w:lineRule="auto"/>
        <w:rPr>
          <w:rFonts w:asciiTheme="minorHAnsi" w:hAnsiTheme="minorHAnsi" w:cstheme="minorHAnsi"/>
        </w:rPr>
      </w:pPr>
    </w:p>
    <w:p w14:paraId="4B485435" w14:textId="77777777" w:rsidR="00043C41" w:rsidRPr="00843A45" w:rsidRDefault="00043C41" w:rsidP="00043C41">
      <w:pPr>
        <w:spacing w:line="240" w:lineRule="auto"/>
        <w:rPr>
          <w:rFonts w:asciiTheme="minorHAnsi" w:eastAsia="Times New Roman" w:hAnsiTheme="minorHAnsi" w:cstheme="minorHAnsi"/>
          <w:b/>
        </w:rPr>
      </w:pPr>
      <w:r w:rsidRPr="00843A45">
        <w:rPr>
          <w:rFonts w:asciiTheme="minorHAnsi" w:eastAsia="Times New Roman" w:hAnsiTheme="minorHAnsi" w:cstheme="minorHAnsi"/>
          <w:b/>
        </w:rPr>
        <w:t>Contact Officer</w:t>
      </w:r>
    </w:p>
    <w:p w14:paraId="30D360B4" w14:textId="77777777" w:rsidR="005810C8" w:rsidRDefault="00043C41" w:rsidP="00733E0D">
      <w:pPr>
        <w:spacing w:after="0" w:line="240" w:lineRule="auto"/>
        <w:rPr>
          <w:rFonts w:asciiTheme="minorHAnsi" w:eastAsia="Times New Roman" w:hAnsiTheme="minorHAnsi" w:cstheme="minorHAnsi"/>
        </w:rPr>
      </w:pPr>
      <w:r w:rsidRPr="00843A45">
        <w:rPr>
          <w:rFonts w:asciiTheme="minorHAnsi" w:eastAsia="Times New Roman" w:hAnsiTheme="minorHAnsi" w:cstheme="minorHAnsi"/>
        </w:rPr>
        <w:t>Lindsey Trivett</w:t>
      </w:r>
    </w:p>
    <w:p w14:paraId="38319F00" w14:textId="77777777" w:rsidR="008E5E89" w:rsidRDefault="00043C41" w:rsidP="00733E0D">
      <w:pPr>
        <w:spacing w:after="0" w:line="240" w:lineRule="auto"/>
        <w:rPr>
          <w:rFonts w:asciiTheme="minorHAnsi" w:eastAsia="Times New Roman" w:hAnsiTheme="minorHAnsi" w:cstheme="minorHAnsi"/>
        </w:rPr>
      </w:pPr>
      <w:r w:rsidRPr="00843A45">
        <w:rPr>
          <w:rFonts w:asciiTheme="minorHAnsi" w:eastAsia="Times New Roman" w:hAnsiTheme="minorHAnsi" w:cstheme="minorHAnsi"/>
        </w:rPr>
        <w:t>Head of Early Years, Child</w:t>
      </w:r>
      <w:r w:rsidR="001A0D3A">
        <w:rPr>
          <w:rFonts w:asciiTheme="minorHAnsi" w:eastAsia="Times New Roman" w:hAnsiTheme="minorHAnsi" w:cstheme="minorHAnsi"/>
        </w:rPr>
        <w:t>care and Children’s Centres</w:t>
      </w:r>
      <w:r w:rsidR="00733E0D">
        <w:rPr>
          <w:rFonts w:asciiTheme="minorHAnsi" w:eastAsia="Times New Roman" w:hAnsiTheme="minorHAnsi" w:cstheme="minorHAnsi"/>
        </w:rPr>
        <w:t xml:space="preserve">. </w:t>
      </w:r>
    </w:p>
    <w:p w14:paraId="62AD9306" w14:textId="77777777" w:rsidR="003C6F13" w:rsidRPr="003C6F13" w:rsidRDefault="00CF0636" w:rsidP="003C6F13">
      <w:pPr>
        <w:spacing w:after="0" w:line="240" w:lineRule="auto"/>
        <w:rPr>
          <w:rFonts w:asciiTheme="minorHAnsi" w:eastAsia="Times New Roman" w:hAnsiTheme="minorHAnsi" w:cstheme="minorHAnsi"/>
        </w:rPr>
      </w:pPr>
      <w:hyperlink r:id="rId11" w:history="1">
        <w:r w:rsidR="003C6F13" w:rsidRPr="003C6F13">
          <w:rPr>
            <w:rStyle w:val="Hyperlink"/>
            <w:rFonts w:asciiTheme="minorHAnsi" w:eastAsia="Times New Roman" w:hAnsiTheme="minorHAnsi" w:cstheme="minorHAnsi"/>
          </w:rPr>
          <w:t>lindsey.trivett@birmingham.gov.uk</w:t>
        </w:r>
      </w:hyperlink>
    </w:p>
    <w:p w14:paraId="37EE26B8" w14:textId="77777777" w:rsidR="003C6F13" w:rsidRPr="00CF45B5" w:rsidRDefault="003C6F13" w:rsidP="00733E0D">
      <w:pPr>
        <w:spacing w:after="0" w:line="240" w:lineRule="auto"/>
        <w:rPr>
          <w:rFonts w:asciiTheme="minorHAnsi" w:eastAsia="Times New Roman" w:hAnsiTheme="minorHAnsi" w:cstheme="minorHAnsi"/>
        </w:rPr>
      </w:pPr>
      <w:r w:rsidRPr="003C6F13">
        <w:rPr>
          <w:rFonts w:asciiTheme="minorHAnsi" w:eastAsia="Times New Roman" w:hAnsiTheme="minorHAnsi" w:cstheme="minorHAnsi"/>
        </w:rPr>
        <w:t>Tel: 07766 924083 / 0121 303 0282</w:t>
      </w:r>
    </w:p>
    <w:sectPr w:rsidR="003C6F13" w:rsidRPr="00CF45B5" w:rsidSect="00E2694E">
      <w:headerReference w:type="default" r:id="rId12"/>
      <w:footerReference w:type="default" r:id="rId13"/>
      <w:pgSz w:w="16838" w:h="11906" w:orient="landscape"/>
      <w:pgMar w:top="993" w:right="1245" w:bottom="991" w:left="1135" w:header="284"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EE71D" w14:textId="77777777" w:rsidR="001C55B4" w:rsidRDefault="001C55B4" w:rsidP="00A813AC">
      <w:pPr>
        <w:spacing w:after="0" w:line="240" w:lineRule="auto"/>
      </w:pPr>
      <w:r>
        <w:separator/>
      </w:r>
    </w:p>
  </w:endnote>
  <w:endnote w:type="continuationSeparator" w:id="0">
    <w:p w14:paraId="5606EF60" w14:textId="77777777" w:rsidR="001C55B4" w:rsidRDefault="001C55B4" w:rsidP="00A8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0DDC2" w14:textId="6DC96CD2" w:rsidR="00304656" w:rsidRPr="00FE10AF" w:rsidRDefault="00304656" w:rsidP="00FE10AF">
    <w:pPr>
      <w:pStyle w:val="FooterEven"/>
      <w:pBdr>
        <w:top w:val="single" w:sz="4" w:space="1" w:color="000000"/>
      </w:pBdr>
      <w:spacing w:after="0"/>
      <w:rPr>
        <w:noProof/>
        <w:color w:val="000000"/>
        <w:sz w:val="24"/>
        <w:szCs w:val="24"/>
      </w:rPr>
    </w:pPr>
    <w:r w:rsidRPr="00FE10AF">
      <w:rPr>
        <w:color w:val="000000"/>
      </w:rPr>
      <w:t xml:space="preserve">Lindsey Trivett </w:t>
    </w:r>
    <w:r w:rsidRPr="00FE10AF">
      <w:rPr>
        <w:color w:val="000000"/>
      </w:rPr>
      <w:tab/>
    </w:r>
    <w:r w:rsidRPr="00FE10AF">
      <w:rPr>
        <w:color w:val="000000"/>
      </w:rPr>
      <w:tab/>
    </w:r>
    <w:r w:rsidRPr="00FE10AF">
      <w:rPr>
        <w:color w:val="000000"/>
      </w:rPr>
      <w:tab/>
    </w:r>
    <w:r w:rsidRPr="00FE10AF">
      <w:rPr>
        <w:color w:val="000000"/>
      </w:rPr>
      <w:tab/>
    </w:r>
    <w:r w:rsidRPr="00FE10AF">
      <w:rPr>
        <w:color w:val="000000"/>
      </w:rPr>
      <w:tab/>
      <w:t xml:space="preserve">      </w:t>
    </w:r>
    <w:r w:rsidR="00E2694E">
      <w:rPr>
        <w:color w:val="000000"/>
      </w:rPr>
      <w:tab/>
    </w:r>
    <w:r w:rsidR="00E2694E">
      <w:rPr>
        <w:color w:val="000000"/>
      </w:rPr>
      <w:tab/>
    </w:r>
    <w:r w:rsidR="00E2694E">
      <w:rPr>
        <w:color w:val="000000"/>
      </w:rPr>
      <w:tab/>
    </w:r>
    <w:r w:rsidR="003510BC">
      <w:rPr>
        <w:color w:val="000000"/>
      </w:rPr>
      <w:tab/>
    </w:r>
    <w:r w:rsidRPr="00FE10AF">
      <w:rPr>
        <w:color w:val="000000"/>
      </w:rPr>
      <w:t xml:space="preserve">Page </w:t>
    </w:r>
    <w:r w:rsidRPr="00FE10AF">
      <w:rPr>
        <w:color w:val="000000"/>
      </w:rPr>
      <w:fldChar w:fldCharType="begin"/>
    </w:r>
    <w:r w:rsidRPr="00FE10AF">
      <w:rPr>
        <w:color w:val="000000"/>
      </w:rPr>
      <w:instrText xml:space="preserve"> PAGE   \* MERGEFORMAT </w:instrText>
    </w:r>
    <w:r w:rsidRPr="00FE10AF">
      <w:rPr>
        <w:color w:val="000000"/>
      </w:rPr>
      <w:fldChar w:fldCharType="separate"/>
    </w:r>
    <w:r w:rsidR="00CF0636">
      <w:rPr>
        <w:noProof/>
        <w:color w:val="000000"/>
      </w:rPr>
      <w:t>1</w:t>
    </w:r>
    <w:r w:rsidRPr="00FE10AF">
      <w:rPr>
        <w:noProof/>
        <w:color w:val="000000"/>
      </w:rPr>
      <w:fldChar w:fldCharType="end"/>
    </w:r>
    <w:r w:rsidRPr="00FE10AF">
      <w:rPr>
        <w:noProof/>
        <w:color w:val="000000"/>
      </w:rPr>
      <w:tab/>
    </w:r>
    <w:r w:rsidRPr="00FE10AF">
      <w:rPr>
        <w:noProof/>
        <w:color w:val="000000"/>
      </w:rPr>
      <w:tab/>
    </w:r>
    <w:r w:rsidRPr="00FE10AF">
      <w:rPr>
        <w:noProof/>
        <w:color w:val="000000"/>
      </w:rPr>
      <w:tab/>
    </w:r>
    <w:r w:rsidRPr="00FE10AF">
      <w:rPr>
        <w:noProof/>
        <w:color w:val="000000"/>
      </w:rPr>
      <w:tab/>
    </w:r>
    <w:r w:rsidRPr="00FE10AF">
      <w:rPr>
        <w:noProof/>
        <w:color w:val="000000"/>
      </w:rPr>
      <w:tab/>
      <w:t xml:space="preserve">    </w:t>
    </w:r>
    <w:r w:rsidR="00583E9B">
      <w:rPr>
        <w:noProof/>
        <w:color w:val="000000"/>
      </w:rPr>
      <w:t xml:space="preserve">          </w:t>
    </w:r>
    <w:r w:rsidR="003510BC">
      <w:rPr>
        <w:noProof/>
        <w:color w:val="000000"/>
      </w:rPr>
      <w:tab/>
    </w:r>
    <w:r w:rsidR="003510BC">
      <w:rPr>
        <w:noProof/>
        <w:color w:val="000000"/>
      </w:rPr>
      <w:tab/>
    </w:r>
    <w:r w:rsidR="003510BC">
      <w:rPr>
        <w:noProof/>
        <w:color w:val="000000"/>
      </w:rPr>
      <w:tab/>
    </w:r>
    <w:r w:rsidR="003510BC">
      <w:rPr>
        <w:noProof/>
        <w:color w:val="000000"/>
      </w:rPr>
      <w:tab/>
    </w:r>
    <w:r w:rsidR="00583E9B">
      <w:rPr>
        <w:noProof/>
        <w:color w:val="000000"/>
      </w:rPr>
      <w:t>April 19</w:t>
    </w:r>
  </w:p>
  <w:p w14:paraId="60085BD4" w14:textId="77777777" w:rsidR="00304656" w:rsidRPr="00FE10AF" w:rsidRDefault="00304656" w:rsidP="00EC7821">
    <w:pPr>
      <w:pStyle w:val="FooterEven"/>
      <w:pBdr>
        <w:top w:val="none" w:sz="0" w:space="0" w:color="auto"/>
      </w:pBdr>
      <w:spacing w:after="0"/>
      <w:rPr>
        <w:color w:val="000000"/>
      </w:rPr>
    </w:pPr>
    <w:r w:rsidRPr="00FE10AF">
      <w:rPr>
        <w:color w:val="000000"/>
      </w:rPr>
      <w:t>©</w:t>
    </w:r>
    <w:r w:rsidR="00583E9B">
      <w:rPr>
        <w:color w:val="000000"/>
      </w:rPr>
      <w:t xml:space="preserve">Education and Skills </w:t>
    </w:r>
    <w:r w:rsidRPr="00FE10AF">
      <w:rPr>
        <w:color w:val="000000"/>
      </w:rPr>
      <w:t>Directorate, Birmingham City Council</w:t>
    </w:r>
  </w:p>
  <w:p w14:paraId="3BB7B3B3" w14:textId="77777777" w:rsidR="00304656" w:rsidRDefault="00304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1393E" w14:textId="77777777" w:rsidR="001C55B4" w:rsidRDefault="001C55B4" w:rsidP="00A813AC">
      <w:pPr>
        <w:spacing w:after="0" w:line="240" w:lineRule="auto"/>
      </w:pPr>
      <w:r>
        <w:separator/>
      </w:r>
    </w:p>
  </w:footnote>
  <w:footnote w:type="continuationSeparator" w:id="0">
    <w:p w14:paraId="5C11CF4D" w14:textId="77777777" w:rsidR="001C55B4" w:rsidRDefault="001C55B4" w:rsidP="00A81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5A6DC" w14:textId="77777777" w:rsidR="00304656" w:rsidRDefault="00304656" w:rsidP="00FE10AF">
    <w:pPr>
      <w:pStyle w:val="HeaderEven"/>
      <w:pBdr>
        <w:bottom w:val="single" w:sz="4" w:space="1" w:color="000000"/>
      </w:pBdr>
    </w:pPr>
    <w:r>
      <w:rPr>
        <w:noProof/>
        <w:lang w:val="en-GB" w:eastAsia="en-GB"/>
      </w:rPr>
      <w:drawing>
        <wp:inline distT="0" distB="0" distL="0" distR="0" wp14:anchorId="115828B2" wp14:editId="7E1DFA6B">
          <wp:extent cx="2438400" cy="771525"/>
          <wp:effectExtent l="0" t="0" r="0" b="9525"/>
          <wp:docPr id="7" name="Picture 39" descr="\\SVWCCG109\HomeShare\CYPF\Edualytt\My Pictures\NewB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VWCCG109\HomeShare\CYPF\Edualytt\My Pictures\NewBC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71525"/>
                  </a:xfrm>
                  <a:prstGeom prst="rect">
                    <a:avLst/>
                  </a:prstGeom>
                  <a:noFill/>
                  <a:ln>
                    <a:noFill/>
                  </a:ln>
                </pic:spPr>
              </pic:pic>
            </a:graphicData>
          </a:graphic>
        </wp:inline>
      </w:drawing>
    </w:r>
  </w:p>
  <w:p w14:paraId="0B5F40CF" w14:textId="77777777" w:rsidR="00304656" w:rsidRPr="00FE10AF" w:rsidRDefault="00304656" w:rsidP="00A813AC">
    <w:pPr>
      <w:pStyle w:val="Header"/>
      <w:tabs>
        <w:tab w:val="clear" w:pos="9026"/>
        <w:tab w:val="right" w:pos="9639"/>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AD9"/>
    <w:multiLevelType w:val="hybridMultilevel"/>
    <w:tmpl w:val="24C61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164469"/>
    <w:multiLevelType w:val="multilevel"/>
    <w:tmpl w:val="E03E5D16"/>
    <w:lvl w:ilvl="0">
      <w:start w:val="1"/>
      <w:numFmt w:val="decimal"/>
      <w:lvlText w:val="%1."/>
      <w:lvlJc w:val="left"/>
      <w:pPr>
        <w:ind w:left="360" w:hanging="360"/>
      </w:pPr>
      <w:rPr>
        <w:b/>
        <w:sz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5C0F62"/>
    <w:multiLevelType w:val="hybridMultilevel"/>
    <w:tmpl w:val="BD702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8836BF"/>
    <w:multiLevelType w:val="hybridMultilevel"/>
    <w:tmpl w:val="FD02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4D2544"/>
    <w:multiLevelType w:val="hybridMultilevel"/>
    <w:tmpl w:val="C6483D36"/>
    <w:lvl w:ilvl="0" w:tplc="8B12AA7A">
      <w:start w:val="1"/>
      <w:numFmt w:val="lowerLetter"/>
      <w:lvlText w:val="%1)"/>
      <w:lvlJc w:val="left"/>
      <w:pPr>
        <w:ind w:left="720" w:hanging="360"/>
      </w:pPr>
      <w:rPr>
        <w:rFonts w:asciiTheme="minorHAnsi" w:eastAsia="Calibri"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4E09E2"/>
    <w:multiLevelType w:val="hybridMultilevel"/>
    <w:tmpl w:val="B150D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6137E5E"/>
    <w:multiLevelType w:val="hybridMultilevel"/>
    <w:tmpl w:val="A758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717E5A"/>
    <w:multiLevelType w:val="multilevel"/>
    <w:tmpl w:val="46CC8C3C"/>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8">
    <w:nsid w:val="4F1C31B3"/>
    <w:multiLevelType w:val="multilevel"/>
    <w:tmpl w:val="4D5E8CF0"/>
    <w:lvl w:ilvl="0">
      <w:start w:val="1"/>
      <w:numFmt w:val="decimal"/>
      <w:lvlText w:val="%1."/>
      <w:lvlJc w:val="left"/>
      <w:pPr>
        <w:ind w:left="360" w:hanging="360"/>
      </w:pPr>
      <w:rPr>
        <w:b/>
        <w:sz w:val="24"/>
      </w:rPr>
    </w:lvl>
    <w:lvl w:ilvl="1">
      <w:start w:val="1"/>
      <w:numFmt w:val="decimal"/>
      <w:lvlText w:val="%1.%2."/>
      <w:lvlJc w:val="left"/>
      <w:pPr>
        <w:ind w:left="792" w:hanging="432"/>
      </w:pPr>
      <w:rPr>
        <w:b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EC7F93"/>
    <w:multiLevelType w:val="hybridMultilevel"/>
    <w:tmpl w:val="191A6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69F3CB3"/>
    <w:multiLevelType w:val="hybridMultilevel"/>
    <w:tmpl w:val="E27A0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EAF75F7"/>
    <w:multiLevelType w:val="hybridMultilevel"/>
    <w:tmpl w:val="7AD82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1920FF"/>
    <w:multiLevelType w:val="hybridMultilevel"/>
    <w:tmpl w:val="D3FC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4736A1"/>
    <w:multiLevelType w:val="multilevel"/>
    <w:tmpl w:val="D5E2D3E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10"/>
  </w:num>
  <w:num w:numId="4">
    <w:abstractNumId w:val="9"/>
  </w:num>
  <w:num w:numId="5">
    <w:abstractNumId w:val="4"/>
  </w:num>
  <w:num w:numId="6">
    <w:abstractNumId w:val="12"/>
  </w:num>
  <w:num w:numId="7">
    <w:abstractNumId w:val="6"/>
  </w:num>
  <w:num w:numId="8">
    <w:abstractNumId w:val="0"/>
  </w:num>
  <w:num w:numId="9">
    <w:abstractNumId w:val="11"/>
  </w:num>
  <w:num w:numId="10">
    <w:abstractNumId w:val="7"/>
  </w:num>
  <w:num w:numId="11">
    <w:abstractNumId w:val="13"/>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AF"/>
    <w:rsid w:val="00003F1E"/>
    <w:rsid w:val="00012CAB"/>
    <w:rsid w:val="000156C8"/>
    <w:rsid w:val="00026426"/>
    <w:rsid w:val="00027903"/>
    <w:rsid w:val="000341FD"/>
    <w:rsid w:val="00043C41"/>
    <w:rsid w:val="00070485"/>
    <w:rsid w:val="000A6F45"/>
    <w:rsid w:val="000B000B"/>
    <w:rsid w:val="000C10F8"/>
    <w:rsid w:val="00113A80"/>
    <w:rsid w:val="00126210"/>
    <w:rsid w:val="00144DA5"/>
    <w:rsid w:val="0014782F"/>
    <w:rsid w:val="001539AA"/>
    <w:rsid w:val="0015605B"/>
    <w:rsid w:val="00160D81"/>
    <w:rsid w:val="0018232B"/>
    <w:rsid w:val="001A0D3A"/>
    <w:rsid w:val="001C55B4"/>
    <w:rsid w:val="001D74D3"/>
    <w:rsid w:val="001E108D"/>
    <w:rsid w:val="001E2F0D"/>
    <w:rsid w:val="001F5CED"/>
    <w:rsid w:val="00203B5B"/>
    <w:rsid w:val="002336FD"/>
    <w:rsid w:val="002355EF"/>
    <w:rsid w:val="0026412E"/>
    <w:rsid w:val="00287FA2"/>
    <w:rsid w:val="00296498"/>
    <w:rsid w:val="002A2223"/>
    <w:rsid w:val="002A4BA0"/>
    <w:rsid w:val="002C700B"/>
    <w:rsid w:val="002D7779"/>
    <w:rsid w:val="003021D6"/>
    <w:rsid w:val="00304656"/>
    <w:rsid w:val="00314296"/>
    <w:rsid w:val="00315AA6"/>
    <w:rsid w:val="00320F0E"/>
    <w:rsid w:val="003259D5"/>
    <w:rsid w:val="0033104F"/>
    <w:rsid w:val="003354D7"/>
    <w:rsid w:val="00335853"/>
    <w:rsid w:val="003510BC"/>
    <w:rsid w:val="00365017"/>
    <w:rsid w:val="00371B7E"/>
    <w:rsid w:val="003728C4"/>
    <w:rsid w:val="003872E0"/>
    <w:rsid w:val="003A4145"/>
    <w:rsid w:val="003A7D42"/>
    <w:rsid w:val="003C3312"/>
    <w:rsid w:val="003C6F13"/>
    <w:rsid w:val="003F3A67"/>
    <w:rsid w:val="0043024D"/>
    <w:rsid w:val="0043319C"/>
    <w:rsid w:val="00445B5D"/>
    <w:rsid w:val="00453327"/>
    <w:rsid w:val="00464EA5"/>
    <w:rsid w:val="00484964"/>
    <w:rsid w:val="004A2061"/>
    <w:rsid w:val="004A7455"/>
    <w:rsid w:val="004C39B0"/>
    <w:rsid w:val="004D0C8E"/>
    <w:rsid w:val="004F54AC"/>
    <w:rsid w:val="004F6098"/>
    <w:rsid w:val="0050078C"/>
    <w:rsid w:val="00507ECE"/>
    <w:rsid w:val="005101E1"/>
    <w:rsid w:val="00516BCA"/>
    <w:rsid w:val="00553C8C"/>
    <w:rsid w:val="005749B9"/>
    <w:rsid w:val="00576CD4"/>
    <w:rsid w:val="005810C8"/>
    <w:rsid w:val="00583E9B"/>
    <w:rsid w:val="005936A9"/>
    <w:rsid w:val="00596670"/>
    <w:rsid w:val="005B1487"/>
    <w:rsid w:val="005C326F"/>
    <w:rsid w:val="005D3825"/>
    <w:rsid w:val="005D3E39"/>
    <w:rsid w:val="005D7776"/>
    <w:rsid w:val="00650B15"/>
    <w:rsid w:val="00655ED2"/>
    <w:rsid w:val="0066273D"/>
    <w:rsid w:val="00670E15"/>
    <w:rsid w:val="006753CE"/>
    <w:rsid w:val="00680B94"/>
    <w:rsid w:val="00684D82"/>
    <w:rsid w:val="00684DBD"/>
    <w:rsid w:val="006D5B20"/>
    <w:rsid w:val="006D7E11"/>
    <w:rsid w:val="006E048A"/>
    <w:rsid w:val="006E0D13"/>
    <w:rsid w:val="006F7A2F"/>
    <w:rsid w:val="00701DA8"/>
    <w:rsid w:val="00721B40"/>
    <w:rsid w:val="00724AC2"/>
    <w:rsid w:val="00726A1F"/>
    <w:rsid w:val="00733E0D"/>
    <w:rsid w:val="0077347D"/>
    <w:rsid w:val="00785E1F"/>
    <w:rsid w:val="00793943"/>
    <w:rsid w:val="007941F0"/>
    <w:rsid w:val="007A7A87"/>
    <w:rsid w:val="007C1EDA"/>
    <w:rsid w:val="007C27CA"/>
    <w:rsid w:val="007F4B29"/>
    <w:rsid w:val="008032B6"/>
    <w:rsid w:val="00825459"/>
    <w:rsid w:val="00843A45"/>
    <w:rsid w:val="0084698E"/>
    <w:rsid w:val="008474AF"/>
    <w:rsid w:val="00861386"/>
    <w:rsid w:val="00864552"/>
    <w:rsid w:val="00892275"/>
    <w:rsid w:val="008A2357"/>
    <w:rsid w:val="008C327B"/>
    <w:rsid w:val="008C4518"/>
    <w:rsid w:val="008E5E89"/>
    <w:rsid w:val="008F5B14"/>
    <w:rsid w:val="00914D9E"/>
    <w:rsid w:val="00931245"/>
    <w:rsid w:val="00932AD6"/>
    <w:rsid w:val="00936809"/>
    <w:rsid w:val="00971991"/>
    <w:rsid w:val="009D042E"/>
    <w:rsid w:val="00A414CC"/>
    <w:rsid w:val="00A753DD"/>
    <w:rsid w:val="00A813AC"/>
    <w:rsid w:val="00A856C7"/>
    <w:rsid w:val="00AB02FB"/>
    <w:rsid w:val="00AB25D3"/>
    <w:rsid w:val="00AB61DA"/>
    <w:rsid w:val="00AC4FAA"/>
    <w:rsid w:val="00AE326A"/>
    <w:rsid w:val="00AF0D18"/>
    <w:rsid w:val="00AF2CC2"/>
    <w:rsid w:val="00B00E83"/>
    <w:rsid w:val="00B2160B"/>
    <w:rsid w:val="00B27EA9"/>
    <w:rsid w:val="00B44B07"/>
    <w:rsid w:val="00B5452A"/>
    <w:rsid w:val="00B71E13"/>
    <w:rsid w:val="00B841A9"/>
    <w:rsid w:val="00B90629"/>
    <w:rsid w:val="00B942BD"/>
    <w:rsid w:val="00BA3617"/>
    <w:rsid w:val="00BB08D5"/>
    <w:rsid w:val="00BB6799"/>
    <w:rsid w:val="00BC6814"/>
    <w:rsid w:val="00BD40DD"/>
    <w:rsid w:val="00BD6B0C"/>
    <w:rsid w:val="00BD78FE"/>
    <w:rsid w:val="00C120F5"/>
    <w:rsid w:val="00C16AE6"/>
    <w:rsid w:val="00C5631F"/>
    <w:rsid w:val="00C7572D"/>
    <w:rsid w:val="00C82186"/>
    <w:rsid w:val="00C90A6C"/>
    <w:rsid w:val="00CD2F22"/>
    <w:rsid w:val="00CD4927"/>
    <w:rsid w:val="00CF0636"/>
    <w:rsid w:val="00CF45B5"/>
    <w:rsid w:val="00CF5274"/>
    <w:rsid w:val="00D0261F"/>
    <w:rsid w:val="00D05F4D"/>
    <w:rsid w:val="00D25A5A"/>
    <w:rsid w:val="00D32220"/>
    <w:rsid w:val="00D331B3"/>
    <w:rsid w:val="00D40232"/>
    <w:rsid w:val="00D577C0"/>
    <w:rsid w:val="00D70C89"/>
    <w:rsid w:val="00D834B6"/>
    <w:rsid w:val="00D854D8"/>
    <w:rsid w:val="00D86769"/>
    <w:rsid w:val="00D92C6C"/>
    <w:rsid w:val="00DB439C"/>
    <w:rsid w:val="00DC0A7B"/>
    <w:rsid w:val="00E102B6"/>
    <w:rsid w:val="00E2694E"/>
    <w:rsid w:val="00E42C82"/>
    <w:rsid w:val="00E4579A"/>
    <w:rsid w:val="00E47E21"/>
    <w:rsid w:val="00E6163E"/>
    <w:rsid w:val="00E715EA"/>
    <w:rsid w:val="00E744BD"/>
    <w:rsid w:val="00E75D58"/>
    <w:rsid w:val="00E84FCB"/>
    <w:rsid w:val="00EA3A28"/>
    <w:rsid w:val="00EB083C"/>
    <w:rsid w:val="00EC2A91"/>
    <w:rsid w:val="00EC7821"/>
    <w:rsid w:val="00EC79D8"/>
    <w:rsid w:val="00EF0961"/>
    <w:rsid w:val="00F251F9"/>
    <w:rsid w:val="00F256E7"/>
    <w:rsid w:val="00F3342E"/>
    <w:rsid w:val="00F35056"/>
    <w:rsid w:val="00F37DF0"/>
    <w:rsid w:val="00F41B36"/>
    <w:rsid w:val="00F56071"/>
    <w:rsid w:val="00F71099"/>
    <w:rsid w:val="00F761B9"/>
    <w:rsid w:val="00F947A1"/>
    <w:rsid w:val="00FA4187"/>
    <w:rsid w:val="00FC3859"/>
    <w:rsid w:val="00FC67F1"/>
    <w:rsid w:val="00FD1091"/>
    <w:rsid w:val="00FD6E08"/>
    <w:rsid w:val="00FE10AF"/>
    <w:rsid w:val="00FF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AB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AC"/>
  </w:style>
  <w:style w:type="paragraph" w:styleId="Footer">
    <w:name w:val="footer"/>
    <w:basedOn w:val="Normal"/>
    <w:link w:val="FooterChar"/>
    <w:uiPriority w:val="99"/>
    <w:unhideWhenUsed/>
    <w:rsid w:val="00A81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AC"/>
  </w:style>
  <w:style w:type="paragraph" w:styleId="BalloonText">
    <w:name w:val="Balloon Text"/>
    <w:basedOn w:val="Normal"/>
    <w:link w:val="BalloonTextChar"/>
    <w:uiPriority w:val="99"/>
    <w:semiHidden/>
    <w:unhideWhenUsed/>
    <w:rsid w:val="00A813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13AC"/>
    <w:rPr>
      <w:rFonts w:ascii="Tahoma" w:hAnsi="Tahoma" w:cs="Tahoma"/>
      <w:sz w:val="16"/>
      <w:szCs w:val="16"/>
    </w:rPr>
  </w:style>
  <w:style w:type="paragraph" w:customStyle="1" w:styleId="FooterEven">
    <w:name w:val="Footer Even"/>
    <w:basedOn w:val="Normal"/>
    <w:rsid w:val="00A813AC"/>
    <w:pPr>
      <w:pBdr>
        <w:top w:val="single" w:sz="4" w:space="1" w:color="4F81BD"/>
      </w:pBdr>
      <w:spacing w:after="180" w:line="264" w:lineRule="auto"/>
    </w:pPr>
    <w:rPr>
      <w:color w:val="1F497D"/>
      <w:sz w:val="20"/>
      <w:szCs w:val="20"/>
      <w:lang w:val="en-US" w:eastAsia="ja-JP"/>
    </w:rPr>
  </w:style>
  <w:style w:type="paragraph" w:customStyle="1" w:styleId="HeaderEven">
    <w:name w:val="Header Even"/>
    <w:basedOn w:val="NoSpacing"/>
    <w:rsid w:val="00A813AC"/>
    <w:pPr>
      <w:pBdr>
        <w:bottom w:val="single" w:sz="4" w:space="1" w:color="4F81BD"/>
      </w:pBdr>
    </w:pPr>
    <w:rPr>
      <w:b/>
      <w:color w:val="1F497D"/>
      <w:sz w:val="20"/>
      <w:szCs w:val="20"/>
      <w:lang w:val="en-US" w:eastAsia="ja-JP"/>
    </w:rPr>
  </w:style>
  <w:style w:type="paragraph" w:styleId="NoSpacing">
    <w:name w:val="No Spacing"/>
    <w:uiPriority w:val="1"/>
    <w:qFormat/>
    <w:rsid w:val="00A813AC"/>
    <w:rPr>
      <w:sz w:val="22"/>
      <w:szCs w:val="22"/>
      <w:lang w:eastAsia="en-US"/>
    </w:rPr>
  </w:style>
  <w:style w:type="paragraph" w:customStyle="1" w:styleId="FooterOdd">
    <w:name w:val="Footer Odd"/>
    <w:basedOn w:val="Normal"/>
    <w:rsid w:val="00EF0961"/>
    <w:pPr>
      <w:pBdr>
        <w:top w:val="single" w:sz="4" w:space="1" w:color="4F81BD"/>
      </w:pBdr>
      <w:spacing w:after="180" w:line="264" w:lineRule="auto"/>
      <w:jc w:val="right"/>
    </w:pPr>
    <w:rPr>
      <w:color w:val="1F497D"/>
      <w:sz w:val="20"/>
      <w:szCs w:val="20"/>
      <w:lang w:val="en-US" w:eastAsia="ja-JP"/>
    </w:rPr>
  </w:style>
  <w:style w:type="paragraph" w:styleId="ListParagraph">
    <w:name w:val="List Paragraph"/>
    <w:basedOn w:val="Normal"/>
    <w:uiPriority w:val="34"/>
    <w:qFormat/>
    <w:rsid w:val="002D7779"/>
    <w:pPr>
      <w:ind w:left="720"/>
      <w:contextualSpacing/>
    </w:pPr>
  </w:style>
  <w:style w:type="paragraph" w:styleId="BodyTextIndent">
    <w:name w:val="Body Text Indent"/>
    <w:basedOn w:val="Normal"/>
    <w:link w:val="BodyTextIndentChar"/>
    <w:rsid w:val="007F4B29"/>
    <w:pPr>
      <w:spacing w:after="0" w:line="240" w:lineRule="auto"/>
      <w:ind w:left="720" w:hanging="720"/>
      <w:jc w:val="both"/>
    </w:pPr>
    <w:rPr>
      <w:rFonts w:ascii="Tahoma" w:eastAsia="Times New Roman" w:hAnsi="Tahoma"/>
      <w:snapToGrid w:val="0"/>
      <w:sz w:val="24"/>
      <w:szCs w:val="20"/>
    </w:rPr>
  </w:style>
  <w:style w:type="character" w:customStyle="1" w:styleId="BodyTextIndentChar">
    <w:name w:val="Body Text Indent Char"/>
    <w:basedOn w:val="DefaultParagraphFont"/>
    <w:link w:val="BodyTextIndent"/>
    <w:rsid w:val="007F4B29"/>
    <w:rPr>
      <w:rFonts w:ascii="Tahoma" w:eastAsia="Times New Roman" w:hAnsi="Tahoma"/>
      <w:snapToGrid w:val="0"/>
      <w:sz w:val="24"/>
      <w:lang w:eastAsia="en-US"/>
    </w:rPr>
  </w:style>
  <w:style w:type="character" w:styleId="Hyperlink">
    <w:name w:val="Hyperlink"/>
    <w:basedOn w:val="DefaultParagraphFont"/>
    <w:uiPriority w:val="99"/>
    <w:unhideWhenUsed/>
    <w:rsid w:val="003C6F13"/>
    <w:rPr>
      <w:color w:val="0000FF" w:themeColor="hyperlink"/>
      <w:u w:val="single"/>
    </w:rPr>
  </w:style>
  <w:style w:type="table" w:styleId="TableGrid">
    <w:name w:val="Table Grid"/>
    <w:basedOn w:val="TableNormal"/>
    <w:uiPriority w:val="59"/>
    <w:rsid w:val="000C1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AC"/>
  </w:style>
  <w:style w:type="paragraph" w:styleId="Footer">
    <w:name w:val="footer"/>
    <w:basedOn w:val="Normal"/>
    <w:link w:val="FooterChar"/>
    <w:uiPriority w:val="99"/>
    <w:unhideWhenUsed/>
    <w:rsid w:val="00A81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AC"/>
  </w:style>
  <w:style w:type="paragraph" w:styleId="BalloonText">
    <w:name w:val="Balloon Text"/>
    <w:basedOn w:val="Normal"/>
    <w:link w:val="BalloonTextChar"/>
    <w:uiPriority w:val="99"/>
    <w:semiHidden/>
    <w:unhideWhenUsed/>
    <w:rsid w:val="00A813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13AC"/>
    <w:rPr>
      <w:rFonts w:ascii="Tahoma" w:hAnsi="Tahoma" w:cs="Tahoma"/>
      <w:sz w:val="16"/>
      <w:szCs w:val="16"/>
    </w:rPr>
  </w:style>
  <w:style w:type="paragraph" w:customStyle="1" w:styleId="FooterEven">
    <w:name w:val="Footer Even"/>
    <w:basedOn w:val="Normal"/>
    <w:rsid w:val="00A813AC"/>
    <w:pPr>
      <w:pBdr>
        <w:top w:val="single" w:sz="4" w:space="1" w:color="4F81BD"/>
      </w:pBdr>
      <w:spacing w:after="180" w:line="264" w:lineRule="auto"/>
    </w:pPr>
    <w:rPr>
      <w:color w:val="1F497D"/>
      <w:sz w:val="20"/>
      <w:szCs w:val="20"/>
      <w:lang w:val="en-US" w:eastAsia="ja-JP"/>
    </w:rPr>
  </w:style>
  <w:style w:type="paragraph" w:customStyle="1" w:styleId="HeaderEven">
    <w:name w:val="Header Even"/>
    <w:basedOn w:val="NoSpacing"/>
    <w:rsid w:val="00A813AC"/>
    <w:pPr>
      <w:pBdr>
        <w:bottom w:val="single" w:sz="4" w:space="1" w:color="4F81BD"/>
      </w:pBdr>
    </w:pPr>
    <w:rPr>
      <w:b/>
      <w:color w:val="1F497D"/>
      <w:sz w:val="20"/>
      <w:szCs w:val="20"/>
      <w:lang w:val="en-US" w:eastAsia="ja-JP"/>
    </w:rPr>
  </w:style>
  <w:style w:type="paragraph" w:styleId="NoSpacing">
    <w:name w:val="No Spacing"/>
    <w:uiPriority w:val="1"/>
    <w:qFormat/>
    <w:rsid w:val="00A813AC"/>
    <w:rPr>
      <w:sz w:val="22"/>
      <w:szCs w:val="22"/>
      <w:lang w:eastAsia="en-US"/>
    </w:rPr>
  </w:style>
  <w:style w:type="paragraph" w:customStyle="1" w:styleId="FooterOdd">
    <w:name w:val="Footer Odd"/>
    <w:basedOn w:val="Normal"/>
    <w:rsid w:val="00EF0961"/>
    <w:pPr>
      <w:pBdr>
        <w:top w:val="single" w:sz="4" w:space="1" w:color="4F81BD"/>
      </w:pBdr>
      <w:spacing w:after="180" w:line="264" w:lineRule="auto"/>
      <w:jc w:val="right"/>
    </w:pPr>
    <w:rPr>
      <w:color w:val="1F497D"/>
      <w:sz w:val="20"/>
      <w:szCs w:val="20"/>
      <w:lang w:val="en-US" w:eastAsia="ja-JP"/>
    </w:rPr>
  </w:style>
  <w:style w:type="paragraph" w:styleId="ListParagraph">
    <w:name w:val="List Paragraph"/>
    <w:basedOn w:val="Normal"/>
    <w:uiPriority w:val="34"/>
    <w:qFormat/>
    <w:rsid w:val="002D7779"/>
    <w:pPr>
      <w:ind w:left="720"/>
      <w:contextualSpacing/>
    </w:pPr>
  </w:style>
  <w:style w:type="paragraph" w:styleId="BodyTextIndent">
    <w:name w:val="Body Text Indent"/>
    <w:basedOn w:val="Normal"/>
    <w:link w:val="BodyTextIndentChar"/>
    <w:rsid w:val="007F4B29"/>
    <w:pPr>
      <w:spacing w:after="0" w:line="240" w:lineRule="auto"/>
      <w:ind w:left="720" w:hanging="720"/>
      <w:jc w:val="both"/>
    </w:pPr>
    <w:rPr>
      <w:rFonts w:ascii="Tahoma" w:eastAsia="Times New Roman" w:hAnsi="Tahoma"/>
      <w:snapToGrid w:val="0"/>
      <w:sz w:val="24"/>
      <w:szCs w:val="20"/>
    </w:rPr>
  </w:style>
  <w:style w:type="character" w:customStyle="1" w:styleId="BodyTextIndentChar">
    <w:name w:val="Body Text Indent Char"/>
    <w:basedOn w:val="DefaultParagraphFont"/>
    <w:link w:val="BodyTextIndent"/>
    <w:rsid w:val="007F4B29"/>
    <w:rPr>
      <w:rFonts w:ascii="Tahoma" w:eastAsia="Times New Roman" w:hAnsi="Tahoma"/>
      <w:snapToGrid w:val="0"/>
      <w:sz w:val="24"/>
      <w:lang w:eastAsia="en-US"/>
    </w:rPr>
  </w:style>
  <w:style w:type="character" w:styleId="Hyperlink">
    <w:name w:val="Hyperlink"/>
    <w:basedOn w:val="DefaultParagraphFont"/>
    <w:uiPriority w:val="99"/>
    <w:unhideWhenUsed/>
    <w:rsid w:val="003C6F13"/>
    <w:rPr>
      <w:color w:val="0000FF" w:themeColor="hyperlink"/>
      <w:u w:val="single"/>
    </w:rPr>
  </w:style>
  <w:style w:type="table" w:styleId="TableGrid">
    <w:name w:val="Table Grid"/>
    <w:basedOn w:val="TableNormal"/>
    <w:uiPriority w:val="59"/>
    <w:rsid w:val="000C1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5463">
      <w:bodyDiv w:val="1"/>
      <w:marLeft w:val="0"/>
      <w:marRight w:val="0"/>
      <w:marTop w:val="0"/>
      <w:marBottom w:val="0"/>
      <w:divBdr>
        <w:top w:val="none" w:sz="0" w:space="0" w:color="auto"/>
        <w:left w:val="none" w:sz="0" w:space="0" w:color="auto"/>
        <w:bottom w:val="none" w:sz="0" w:space="0" w:color="auto"/>
        <w:right w:val="none" w:sz="0" w:space="0" w:color="auto"/>
      </w:divBdr>
    </w:div>
    <w:div w:id="16793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indsey.trivett@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2" ma:contentTypeDescription="Create a new document." ma:contentTypeScope="" ma:versionID="e00210b62e402985bad5b7184e8a6ff1">
  <xsd:schema xmlns:xsd="http://www.w3.org/2001/XMLSchema" xmlns:xs="http://www.w3.org/2001/XMLSchema" xmlns:p="http://schemas.microsoft.com/office/2006/metadata/properties" xmlns:ns3="cf4fbdc1-3486-4097-bd2f-409effe17552" targetNamespace="http://schemas.microsoft.com/office/2006/metadata/properties" ma:root="true" ma:fieldsID="26b6d7a54e55c213c12fd34630550728" ns3:_="">
    <xsd:import namespace="cf4fbdc1-3486-4097-bd2f-409effe1755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4E3FA-63C5-44AF-B8D6-DFEDF724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0B39-BBDD-440C-9A60-6ECC75D6B0E5}">
  <ds:schemaRefs>
    <ds:schemaRef ds:uri="http://schemas.microsoft.com/sharepoint/v3/contenttype/forms"/>
  </ds:schemaRefs>
</ds:datastoreItem>
</file>

<file path=customXml/itemProps3.xml><?xml version="1.0" encoding="utf-8"?>
<ds:datastoreItem xmlns:ds="http://schemas.openxmlformats.org/officeDocument/2006/customXml" ds:itemID="{5FE03F6D-209C-4A11-BF05-FC2C4C4D2A74}">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cf4fbdc1-3486-4097-bd2f-409effe17552"/>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Martyn Scott</cp:lastModifiedBy>
  <cp:revision>2</cp:revision>
  <dcterms:created xsi:type="dcterms:W3CDTF">2019-11-15T08:27:00Z</dcterms:created>
  <dcterms:modified xsi:type="dcterms:W3CDTF">2019-11-15T08:27:00Z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